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黑体" w:hAnsi="黑体" w:eastAsia="黑体" w:cs="Arial"/>
          <w:color w:val="282828"/>
          <w:kern w:val="0"/>
          <w:sz w:val="32"/>
          <w:szCs w:val="32"/>
          <w:shd w:val="clear" w:color="auto" w:fill="FFFFFF"/>
        </w:rPr>
      </w:pPr>
      <w:r>
        <w:rPr>
          <w:rFonts w:ascii="黑体" w:hAnsi="黑体" w:eastAsia="黑体" w:cs="Arial"/>
          <w:color w:val="282828"/>
          <w:kern w:val="0"/>
          <w:sz w:val="32"/>
          <w:szCs w:val="32"/>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Arial"/>
          <w:color w:val="282828"/>
          <w:kern w:val="0"/>
          <w:sz w:val="32"/>
          <w:szCs w:val="32"/>
          <w:shd w:val="clear" w:color="auto" w:fill="FFFFFF"/>
        </w:rPr>
        <w:instrText xml:space="preserve">ADDIN CNKISM.UserStyle</w:instrText>
      </w:r>
      <w:r>
        <w:rPr>
          <w:rFonts w:ascii="黑体" w:hAnsi="黑体" w:eastAsia="黑体" w:cs="Arial"/>
          <w:color w:val="282828"/>
          <w:kern w:val="0"/>
          <w:sz w:val="32"/>
          <w:szCs w:val="32"/>
          <w:shd w:val="clear" w:color="auto" w:fill="FFFFFF"/>
        </w:rPr>
        <w:fldChar w:fldCharType="end"/>
      </w:r>
      <w:r>
        <w:rPr>
          <w:rFonts w:hint="eastAsia" w:ascii="黑体" w:hAnsi="黑体" w:eastAsia="黑体" w:cs="Arial"/>
          <w:color w:val="282828"/>
          <w:kern w:val="0"/>
          <w:sz w:val="32"/>
          <w:szCs w:val="32"/>
          <w:shd w:val="clear" w:color="auto" w:fill="FFFFFF"/>
        </w:rPr>
        <w:t>辽宁师范大学历史文化旅游学院教师系列专业技术职务任职资格评审推荐工作实施方案（试行）</w:t>
      </w:r>
    </w:p>
    <w:p>
      <w:pPr>
        <w:widowControl/>
        <w:shd w:val="clear" w:color="auto" w:fill="FFFFFF"/>
        <w:jc w:val="center"/>
        <w:rPr>
          <w:rFonts w:ascii="黑体" w:hAnsi="黑体" w:eastAsia="黑体" w:cs="Arial"/>
          <w:color w:val="282828"/>
          <w:kern w:val="0"/>
          <w:sz w:val="32"/>
          <w:szCs w:val="32"/>
          <w:shd w:val="clear" w:color="auto" w:fill="FFFFFF"/>
        </w:rPr>
      </w:pPr>
    </w:p>
    <w:p>
      <w:pPr>
        <w:widowControl/>
        <w:shd w:val="clear" w:color="auto" w:fill="FFFFFF"/>
        <w:ind w:firstLine="560" w:firstLineChars="200"/>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为进一步深化我院职称制度改革，规范我院教师系列专业技术职务任职资格评审推荐工作</w:t>
      </w:r>
      <w:r>
        <w:rPr>
          <w:rFonts w:ascii="仿宋" w:hAnsi="仿宋" w:eastAsia="仿宋" w:cs="Arial"/>
          <w:color w:val="282828"/>
          <w:kern w:val="0"/>
          <w:sz w:val="28"/>
          <w:szCs w:val="28"/>
          <w:shd w:val="clear" w:color="auto" w:fill="FFFFFF"/>
        </w:rPr>
        <w:t>,</w:t>
      </w:r>
      <w:r>
        <w:rPr>
          <w:rFonts w:hint="eastAsia"/>
        </w:rPr>
        <w:t xml:space="preserve"> </w:t>
      </w:r>
      <w:r>
        <w:rPr>
          <w:rFonts w:hint="eastAsia" w:ascii="仿宋" w:hAnsi="仿宋" w:eastAsia="仿宋" w:cs="Arial"/>
          <w:color w:val="282828"/>
          <w:kern w:val="0"/>
          <w:sz w:val="28"/>
          <w:szCs w:val="28"/>
          <w:shd w:val="clear" w:color="auto" w:fill="FFFFFF"/>
        </w:rPr>
        <w:t>根据《职称评审管理暂行规定》（中华人民共和国人力资源和社会保障部令第 40 号）、国家《关于深化职称制度改革的意见》、省《关于深化职称制度改革的实施意见》《关于印发&lt;辽宁省职称评审管理办法（实行）&gt;的通知》（辽人社发〔2017〕9号）《关于印发&lt;辽宁省职称评委会核准备案管理办法（试行）&gt;的通知》（辽人社发〔2017〕10号）《关于印发&lt;辽宁省高校职称评审监管实施细则（试行）&gt;的通知》（辽教发〔2019〕80号）等有关规定及文件精神，结合我院实际，制定“历史文化旅游学院教师系列专业技术职务任职资格评审推荐工作实施方案”。</w:t>
      </w:r>
    </w:p>
    <w:p>
      <w:pPr>
        <w:widowControl/>
        <w:shd w:val="clear" w:color="auto" w:fill="FFFFFF"/>
        <w:ind w:firstLine="516"/>
        <w:jc w:val="left"/>
        <w:rPr>
          <w:rFonts w:ascii="仿宋" w:hAnsi="仿宋" w:eastAsia="仿宋" w:cs="Arial"/>
          <w:b/>
          <w:color w:val="282828"/>
          <w:kern w:val="0"/>
          <w:sz w:val="28"/>
          <w:szCs w:val="28"/>
          <w:shd w:val="clear" w:color="auto" w:fill="FFFFFF"/>
        </w:rPr>
      </w:pPr>
      <w:r>
        <w:rPr>
          <w:rFonts w:hint="eastAsia" w:ascii="仿宋" w:hAnsi="仿宋" w:eastAsia="仿宋" w:cs="Arial"/>
          <w:b/>
          <w:color w:val="282828"/>
          <w:kern w:val="0"/>
          <w:sz w:val="28"/>
          <w:szCs w:val="28"/>
          <w:shd w:val="clear" w:color="auto" w:fill="FFFFFF"/>
        </w:rPr>
        <w:t>一、</w:t>
      </w:r>
      <w:r>
        <w:rPr>
          <w:rFonts w:ascii="仿宋" w:hAnsi="仿宋" w:eastAsia="仿宋" w:cs="Arial"/>
          <w:b/>
          <w:color w:val="282828"/>
          <w:kern w:val="0"/>
          <w:sz w:val="28"/>
          <w:szCs w:val="28"/>
          <w:shd w:val="clear" w:color="auto" w:fill="FFFFFF"/>
        </w:rPr>
        <w:t xml:space="preserve"> </w:t>
      </w:r>
      <w:r>
        <w:rPr>
          <w:rFonts w:hint="eastAsia" w:ascii="仿宋" w:hAnsi="仿宋" w:eastAsia="仿宋" w:cs="Arial"/>
          <w:b/>
          <w:color w:val="282828"/>
          <w:kern w:val="0"/>
          <w:sz w:val="28"/>
          <w:szCs w:val="28"/>
          <w:shd w:val="clear" w:color="auto" w:fill="FFFFFF"/>
        </w:rPr>
        <w:t>工作思路</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坚持正确的评价导向，全面落实师德至上、质量至上、客观公正、注重业绩的评审原则。提升师德与育人考核评价的可操作性，尊重教育教学规律、人才成长规律，体现学科、专业发展特色与特点，逐步建立并完善师德为先、教学为要、科研为基、发展为本的评价体系。充分发挥同行评议的作用。进一步完善评审公开制度、回避制度、公示制度和巡查制度，建立复查、投诉机制，加强对评价全过程的监督管理，构建学校监管、学院自律、广大教职工监督的综合监管体系，为营造良好的人才成长生态环境提供制度保障。</w:t>
      </w:r>
    </w:p>
    <w:p>
      <w:pPr>
        <w:widowControl/>
        <w:shd w:val="clear" w:color="auto" w:fill="FFFFFF"/>
        <w:ind w:firstLine="516"/>
        <w:jc w:val="left"/>
        <w:rPr>
          <w:rFonts w:ascii="仿宋" w:hAnsi="仿宋" w:eastAsia="仿宋" w:cs="Arial"/>
          <w:b/>
          <w:color w:val="282828"/>
          <w:kern w:val="0"/>
          <w:sz w:val="28"/>
          <w:szCs w:val="28"/>
          <w:shd w:val="clear" w:color="auto" w:fill="FFFFFF"/>
        </w:rPr>
      </w:pPr>
      <w:r>
        <w:rPr>
          <w:rFonts w:hint="eastAsia" w:ascii="仿宋" w:hAnsi="仿宋" w:eastAsia="仿宋" w:cs="Arial"/>
          <w:b/>
          <w:color w:val="282828"/>
          <w:kern w:val="0"/>
          <w:sz w:val="28"/>
          <w:szCs w:val="28"/>
          <w:shd w:val="clear" w:color="auto" w:fill="FFFFFF"/>
        </w:rPr>
        <w:t>二、具体要求</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（一）组织机构</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 xml:space="preserve">学院成立教师系列专业技术职务任职资格评审工作组（以下简称工作组），全面负责学院教师系列的专业技术职务任职资格的评审推荐工作。工作组由学院学术委员会、党政领导班子及根据工作需要，临时增补的教师代表构成，人数须为单数。 </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工作组设立领导小组（以下简称领导小组），由本单位党政一把手及学术委员会主任组成。</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学术委员会主要负责教学科研指标体系的制定与评价,党政领导班子主要负责师德与育人指标体系的制定与评价。每一类指标体系的制定与评价评委人数应为奇数，若为偶数，则须吸纳一名教师代表。</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工作组成立资格审查小组，由3名工作组成员兼任，专项负责参评人任职资格、参评材料的查重、查实等审核工作以及成果公示等具体操作性工作。</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（二）基本程序</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1. </w:t>
      </w:r>
      <w:r>
        <w:rPr>
          <w:rFonts w:hint="eastAsia" w:ascii="仿宋" w:hAnsi="仿宋" w:eastAsia="仿宋" w:cs="Arial"/>
          <w:color w:val="282828"/>
          <w:kern w:val="0"/>
          <w:sz w:val="28"/>
          <w:szCs w:val="28"/>
          <w:shd w:val="clear" w:color="auto" w:fill="FFFFFF"/>
        </w:rPr>
        <w:t>制定并公布方案。根据学校的年度评审要求，按程序制定并公布年度评审方案（含评价指标体系及成果目录）。</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2. </w:t>
      </w:r>
      <w:r>
        <w:rPr>
          <w:rFonts w:hint="eastAsia" w:ascii="仿宋" w:hAnsi="仿宋" w:eastAsia="仿宋" w:cs="Arial"/>
          <w:color w:val="282828"/>
          <w:kern w:val="0"/>
          <w:sz w:val="28"/>
          <w:szCs w:val="28"/>
          <w:shd w:val="clear" w:color="auto" w:fill="FFFFFF"/>
        </w:rPr>
        <w:t>个人申报。参评人根据学校及学院要求填报材料。</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3. </w:t>
      </w:r>
      <w:r>
        <w:rPr>
          <w:rFonts w:hint="eastAsia" w:ascii="仿宋" w:hAnsi="仿宋" w:eastAsia="仿宋" w:cs="Arial"/>
          <w:color w:val="282828"/>
          <w:kern w:val="0"/>
          <w:sz w:val="28"/>
          <w:szCs w:val="28"/>
          <w:shd w:val="clear" w:color="auto" w:fill="FFFFFF"/>
        </w:rPr>
        <w:t>单位审查。资格审查小组对参评人的任职资格及参评材料进行审查。审查结果须参评人签字确认。</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4. </w:t>
      </w:r>
      <w:r>
        <w:rPr>
          <w:rFonts w:hint="eastAsia" w:ascii="仿宋" w:hAnsi="仿宋" w:eastAsia="仿宋" w:cs="Arial"/>
          <w:color w:val="282828"/>
          <w:kern w:val="0"/>
          <w:sz w:val="28"/>
          <w:szCs w:val="28"/>
          <w:shd w:val="clear" w:color="auto" w:fill="FFFFFF"/>
        </w:rPr>
        <w:t>成果展示。</w:t>
      </w:r>
      <w:r>
        <w:rPr>
          <w:rFonts w:hint="eastAsia" w:ascii="仿宋" w:hAnsi="仿宋" w:eastAsia="仿宋"/>
          <w:sz w:val="28"/>
          <w:szCs w:val="28"/>
        </w:rPr>
        <w:t>请参评教师</w:t>
      </w:r>
      <w:r>
        <w:rPr>
          <w:rFonts w:hint="eastAsia" w:ascii="仿宋" w:hAnsi="仿宋" w:eastAsia="仿宋" w:cs="Arial"/>
          <w:kern w:val="0"/>
          <w:sz w:val="28"/>
          <w:szCs w:val="28"/>
          <w:shd w:val="clear" w:color="auto" w:fill="FFFFFF"/>
        </w:rPr>
        <w:t>在指定时间内</w:t>
      </w:r>
      <w:r>
        <w:rPr>
          <w:rFonts w:hint="eastAsia" w:ascii="仿宋" w:hAnsi="仿宋" w:eastAsia="仿宋"/>
          <w:sz w:val="28"/>
          <w:szCs w:val="28"/>
        </w:rPr>
        <w:t>把申报的所有参评材料交到学院进行成果展示以及在学校建立的成果专栏进行公示，</w:t>
      </w:r>
      <w:r>
        <w:rPr>
          <w:rFonts w:hint="eastAsia" w:ascii="仿宋" w:hAnsi="仿宋" w:eastAsia="仿宋" w:cs="Arial"/>
          <w:kern w:val="0"/>
          <w:sz w:val="28"/>
          <w:szCs w:val="28"/>
          <w:shd w:val="clear" w:color="auto" w:fill="FFFFFF"/>
        </w:rPr>
        <w:t>接</w:t>
      </w:r>
      <w:r>
        <w:rPr>
          <w:rFonts w:hint="eastAsia" w:ascii="仿宋" w:hAnsi="仿宋" w:eastAsia="仿宋" w:cs="Arial"/>
          <w:color w:val="282828"/>
          <w:kern w:val="0"/>
          <w:sz w:val="28"/>
          <w:szCs w:val="28"/>
          <w:shd w:val="clear" w:color="auto" w:fill="FFFFFF"/>
        </w:rPr>
        <w:t>受本单位全体师生的监督。成果一经上网公示，只可撤，不可换。</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5. </w:t>
      </w:r>
      <w:r>
        <w:rPr>
          <w:rFonts w:hint="eastAsia" w:ascii="仿宋" w:hAnsi="仿宋" w:eastAsia="仿宋" w:cs="Arial"/>
          <w:color w:val="282828"/>
          <w:kern w:val="0"/>
          <w:sz w:val="28"/>
          <w:szCs w:val="28"/>
          <w:shd w:val="clear" w:color="auto" w:fill="FFFFFF"/>
        </w:rPr>
        <w:t>述职答辩。参评人就任职以来的工作表现进行述职，工作成果进行答辩。</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6. </w:t>
      </w:r>
      <w:r>
        <w:rPr>
          <w:rFonts w:hint="eastAsia" w:ascii="仿宋" w:hAnsi="仿宋" w:eastAsia="仿宋" w:cs="Arial"/>
          <w:color w:val="282828"/>
          <w:kern w:val="0"/>
          <w:sz w:val="28"/>
          <w:szCs w:val="28"/>
          <w:shd w:val="clear" w:color="auto" w:fill="FFFFFF"/>
        </w:rPr>
        <w:t>评审推荐。对参评人师德与育人、教学、科研表现进行评价，量化评价部分须参评人签字确认，无异议后，确定本单位的推荐人选。</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7. </w:t>
      </w:r>
      <w:r>
        <w:rPr>
          <w:rFonts w:hint="eastAsia" w:ascii="仿宋" w:hAnsi="仿宋" w:eastAsia="仿宋" w:cs="Arial"/>
          <w:color w:val="282828"/>
          <w:kern w:val="0"/>
          <w:sz w:val="28"/>
          <w:szCs w:val="28"/>
          <w:shd w:val="clear" w:color="auto" w:fill="FFFFFF"/>
        </w:rPr>
        <w:t>结果公示。须全部参评人员排序公示，公示无异议后推荐至学校参加评审。</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（三）评价指标体系</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1. </w:t>
      </w:r>
      <w:r>
        <w:rPr>
          <w:rFonts w:hint="eastAsia" w:ascii="仿宋" w:hAnsi="仿宋" w:eastAsia="仿宋" w:cs="Arial"/>
          <w:color w:val="282828"/>
          <w:kern w:val="0"/>
          <w:sz w:val="28"/>
          <w:szCs w:val="28"/>
          <w:shd w:val="clear" w:color="auto" w:fill="FFFFFF"/>
        </w:rPr>
        <w:t>评价维度。学院建立师德与育人、教学、科研三大维度的教师系列专业技术职务任职资格评审指标体系。根据评审类型工作特点，制定每一类型教师的评价维度权重。其中师德与育人维度评价所占比例为</w:t>
      </w:r>
      <w:r>
        <w:rPr>
          <w:rFonts w:ascii="仿宋" w:hAnsi="仿宋" w:eastAsia="仿宋" w:cs="Arial"/>
          <w:color w:val="282828"/>
          <w:kern w:val="0"/>
          <w:sz w:val="28"/>
          <w:szCs w:val="28"/>
          <w:shd w:val="clear" w:color="auto" w:fill="FFFFFF"/>
        </w:rPr>
        <w:t>10%,</w:t>
      </w:r>
      <w:r>
        <w:rPr>
          <w:rFonts w:hint="eastAsia" w:ascii="仿宋" w:hAnsi="仿宋" w:eastAsia="仿宋" w:cs="Arial"/>
          <w:color w:val="282828"/>
          <w:kern w:val="0"/>
          <w:sz w:val="28"/>
          <w:szCs w:val="28"/>
          <w:shd w:val="clear" w:color="auto" w:fill="FFFFFF"/>
        </w:rPr>
        <w:t>按百分制折合低于</w:t>
      </w:r>
      <w:r>
        <w:rPr>
          <w:rFonts w:ascii="仿宋" w:hAnsi="仿宋" w:eastAsia="仿宋" w:cs="Arial"/>
          <w:color w:val="282828"/>
          <w:kern w:val="0"/>
          <w:sz w:val="28"/>
          <w:szCs w:val="28"/>
          <w:shd w:val="clear" w:color="auto" w:fill="FFFFFF"/>
        </w:rPr>
        <w:t>60</w:t>
      </w:r>
      <w:r>
        <w:rPr>
          <w:rFonts w:hint="eastAsia" w:ascii="仿宋" w:hAnsi="仿宋" w:eastAsia="仿宋" w:cs="Arial"/>
          <w:color w:val="282828"/>
          <w:kern w:val="0"/>
          <w:sz w:val="28"/>
          <w:szCs w:val="28"/>
          <w:shd w:val="clear" w:color="auto" w:fill="FFFFFF"/>
        </w:rPr>
        <w:t>分者</w:t>
      </w:r>
      <w:r>
        <w:rPr>
          <w:rFonts w:ascii="仿宋" w:hAnsi="仿宋" w:eastAsia="仿宋" w:cs="Arial"/>
          <w:color w:val="282828"/>
          <w:kern w:val="0"/>
          <w:sz w:val="28"/>
          <w:szCs w:val="28"/>
          <w:shd w:val="clear" w:color="auto" w:fill="FFFFFF"/>
        </w:rPr>
        <w:t>,</w:t>
      </w:r>
      <w:r>
        <w:rPr>
          <w:rFonts w:hint="eastAsia" w:ascii="仿宋" w:hAnsi="仿宋" w:eastAsia="仿宋" w:cs="Arial"/>
          <w:color w:val="282828"/>
          <w:kern w:val="0"/>
          <w:sz w:val="28"/>
          <w:szCs w:val="28"/>
          <w:shd w:val="clear" w:color="auto" w:fill="FFFFFF"/>
        </w:rPr>
        <w:t>不得参评（可采取基准线基础上的加减分方法）。在此基础上，进一步确定各类型教师教学、科研维度所占比重。</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2. </w:t>
      </w:r>
      <w:r>
        <w:rPr>
          <w:rFonts w:hint="eastAsia" w:ascii="仿宋" w:hAnsi="仿宋" w:eastAsia="仿宋" w:cs="Arial"/>
          <w:color w:val="282828"/>
          <w:kern w:val="0"/>
          <w:sz w:val="28"/>
          <w:szCs w:val="28"/>
          <w:shd w:val="clear" w:color="auto" w:fill="FFFFFF"/>
        </w:rPr>
        <w:t>评价要点。师德与育人需重点考核教师以社会主义核心价值观为基准的师德与育人方面的现实表现等，以教育部《关于建立健全高校师德建设长效机制》（教师</w:t>
      </w:r>
      <w:r>
        <w:rPr>
          <w:rFonts w:ascii="仿宋" w:hAnsi="仿宋" w:eastAsia="仿宋" w:cs="Arial"/>
          <w:color w:val="282828"/>
          <w:kern w:val="0"/>
          <w:sz w:val="28"/>
          <w:szCs w:val="28"/>
          <w:shd w:val="clear" w:color="auto" w:fill="FFFFFF"/>
        </w:rPr>
        <w:t>[2014]10</w:t>
      </w:r>
      <w:r>
        <w:rPr>
          <w:rFonts w:hint="eastAsia" w:ascii="仿宋" w:hAnsi="仿宋" w:eastAsia="仿宋" w:cs="Arial"/>
          <w:color w:val="282828"/>
          <w:kern w:val="0"/>
          <w:sz w:val="28"/>
          <w:szCs w:val="28"/>
          <w:shd w:val="clear" w:color="auto" w:fill="FFFFFF"/>
        </w:rPr>
        <w:t>号）、中央、辽宁省委《关于加强和改进新形势下高校思想政治工作的意见》、《高校思想政治工作质量提升工程实施纲要》等文件精神为指导；教学需重点考核教学工作量完成情况、教学成果、社会服务等，以专业建设等工作要求为指导；科研需重点考核科研成果、学科贡献、社会服务等，以学科建设等工作为指导。科研成果须重点考核成果的原创性和与本单位学科建设的关联度。</w:t>
      </w:r>
    </w:p>
    <w:p>
      <w:pPr>
        <w:pStyle w:val="2"/>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    3. </w:t>
      </w:r>
      <w:r>
        <w:rPr>
          <w:rFonts w:hint="eastAsia" w:ascii="仿宋" w:hAnsi="仿宋" w:eastAsia="仿宋" w:cs="Arial"/>
          <w:color w:val="282828"/>
          <w:kern w:val="0"/>
          <w:sz w:val="28"/>
          <w:szCs w:val="28"/>
          <w:shd w:val="clear" w:color="auto" w:fill="FFFFFF"/>
        </w:rPr>
        <w:t>指标体系。按照于法周全、于事简便的原则，基于师德与育人、教学、科研三大维度，建立以评价要点为一级指标，根据需要与可行性，扩展至二级指标的指标体系。尽量采取可量化指标体系，对于近期不可量化的指标，若为必要指标，可采取定性向定量逐步推进的方式，若非必要指标，则可舍弃。指标的设立具有相对独立性，不能相互包含、彼此交叉。对于兼容性指标，须事先作出规定。</w:t>
      </w:r>
      <w:r>
        <w:rPr>
          <w:rFonts w:hint="eastAsia" w:ascii="仿宋" w:hAnsi="仿宋" w:eastAsia="仿宋" w:cs="Arial"/>
          <w:kern w:val="0"/>
          <w:sz w:val="28"/>
          <w:szCs w:val="28"/>
          <w:shd w:val="clear" w:color="auto" w:fill="FFFFFF"/>
        </w:rPr>
        <w:t>为合理区分各指标表现，每个维度内部采取百分制。</w:t>
      </w:r>
      <w:r>
        <w:rPr>
          <w:rFonts w:hint="eastAsia" w:ascii="仿宋" w:hAnsi="仿宋" w:eastAsia="仿宋" w:cs="Arial"/>
          <w:color w:val="282828"/>
          <w:kern w:val="0"/>
          <w:sz w:val="28"/>
          <w:szCs w:val="28"/>
          <w:shd w:val="clear" w:color="auto" w:fill="FFFFFF"/>
        </w:rPr>
        <w:t>评价指标体系总表见附件</w:t>
      </w:r>
      <w:r>
        <w:rPr>
          <w:rFonts w:ascii="仿宋" w:hAnsi="仿宋" w:eastAsia="仿宋" w:cs="Arial"/>
          <w:color w:val="282828"/>
          <w:kern w:val="0"/>
          <w:sz w:val="28"/>
          <w:szCs w:val="28"/>
          <w:shd w:val="clear" w:color="auto" w:fill="FFFFFF"/>
        </w:rPr>
        <w:t>1</w:t>
      </w:r>
      <w:r>
        <w:rPr>
          <w:rFonts w:hint="eastAsia" w:ascii="仿宋" w:hAnsi="仿宋" w:eastAsia="仿宋" w:cs="Arial"/>
          <w:color w:val="282828"/>
          <w:kern w:val="0"/>
          <w:sz w:val="28"/>
          <w:szCs w:val="28"/>
          <w:shd w:val="clear" w:color="auto" w:fill="FFFFFF"/>
        </w:rPr>
        <w:t>，师德与育人评价体系见附件</w:t>
      </w:r>
      <w:r>
        <w:rPr>
          <w:rFonts w:ascii="仿宋" w:hAnsi="仿宋" w:eastAsia="仿宋" w:cs="Arial"/>
          <w:color w:val="282828"/>
          <w:kern w:val="0"/>
          <w:sz w:val="28"/>
          <w:szCs w:val="28"/>
          <w:shd w:val="clear" w:color="auto" w:fill="FFFFFF"/>
        </w:rPr>
        <w:t>2-1</w:t>
      </w:r>
      <w:r>
        <w:rPr>
          <w:rFonts w:hint="eastAsia" w:ascii="仿宋" w:hAnsi="仿宋" w:eastAsia="仿宋" w:cs="Arial"/>
          <w:color w:val="282828"/>
          <w:kern w:val="0"/>
          <w:sz w:val="28"/>
          <w:szCs w:val="28"/>
          <w:shd w:val="clear" w:color="auto" w:fill="FFFFFF"/>
        </w:rPr>
        <w:t>，教学评价体系见附件</w:t>
      </w:r>
      <w:r>
        <w:rPr>
          <w:rFonts w:ascii="仿宋" w:hAnsi="仿宋" w:eastAsia="仿宋" w:cs="Arial"/>
          <w:color w:val="282828"/>
          <w:kern w:val="0"/>
          <w:sz w:val="28"/>
          <w:szCs w:val="28"/>
          <w:shd w:val="clear" w:color="auto" w:fill="FFFFFF"/>
        </w:rPr>
        <w:t>2-2</w:t>
      </w:r>
      <w:r>
        <w:rPr>
          <w:rFonts w:hint="eastAsia" w:ascii="仿宋" w:hAnsi="仿宋" w:eastAsia="仿宋" w:cs="Arial"/>
          <w:color w:val="282828"/>
          <w:kern w:val="0"/>
          <w:sz w:val="28"/>
          <w:szCs w:val="28"/>
          <w:shd w:val="clear" w:color="auto" w:fill="FFFFFF"/>
        </w:rPr>
        <w:t>，科研评价体系见附件</w:t>
      </w:r>
      <w:r>
        <w:rPr>
          <w:rFonts w:ascii="仿宋" w:hAnsi="仿宋" w:eastAsia="仿宋" w:cs="Arial"/>
          <w:color w:val="282828"/>
          <w:kern w:val="0"/>
          <w:sz w:val="28"/>
          <w:szCs w:val="28"/>
          <w:shd w:val="clear" w:color="auto" w:fill="FFFFFF"/>
        </w:rPr>
        <w:t>2-3</w:t>
      </w:r>
      <w:r>
        <w:rPr>
          <w:rFonts w:hint="eastAsia" w:ascii="仿宋" w:hAnsi="仿宋" w:eastAsia="仿宋" w:cs="Arial"/>
          <w:color w:val="282828"/>
          <w:kern w:val="0"/>
          <w:sz w:val="28"/>
          <w:szCs w:val="28"/>
          <w:shd w:val="clear" w:color="auto" w:fill="FFFFFF"/>
        </w:rPr>
        <w:t>。</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 4. </w:t>
      </w:r>
      <w:r>
        <w:rPr>
          <w:rFonts w:hint="eastAsia" w:ascii="仿宋" w:hAnsi="仿宋" w:eastAsia="仿宋" w:cs="Arial"/>
          <w:color w:val="282828"/>
          <w:kern w:val="0"/>
          <w:sz w:val="28"/>
          <w:szCs w:val="28"/>
          <w:shd w:val="clear" w:color="auto" w:fill="FFFFFF"/>
        </w:rPr>
        <w:t>成果目录。以评价指标体系为框架，按照《辽宁师范大学科研项目级别认定细则》（辽师大校发</w:t>
      </w:r>
      <w:r>
        <w:rPr>
          <w:rFonts w:ascii="仿宋" w:hAnsi="仿宋" w:eastAsia="仿宋" w:cs="Arial"/>
          <w:color w:val="282828"/>
          <w:kern w:val="0"/>
          <w:sz w:val="28"/>
          <w:szCs w:val="28"/>
          <w:shd w:val="clear" w:color="auto" w:fill="FFFFFF"/>
        </w:rPr>
        <w:t>[2017]92</w:t>
      </w:r>
      <w:r>
        <w:rPr>
          <w:rFonts w:hint="eastAsia" w:ascii="仿宋" w:hAnsi="仿宋" w:eastAsia="仿宋" w:cs="Arial"/>
          <w:color w:val="282828"/>
          <w:kern w:val="0"/>
          <w:sz w:val="28"/>
          <w:szCs w:val="28"/>
          <w:shd w:val="clear" w:color="auto" w:fill="FFFFFF"/>
        </w:rPr>
        <w:t>号）、《辽宁师范大学获奖类成果奖励认定目录》（辽师大校发</w:t>
      </w:r>
      <w:r>
        <w:rPr>
          <w:rFonts w:ascii="仿宋" w:hAnsi="仿宋" w:eastAsia="仿宋" w:cs="Arial"/>
          <w:color w:val="282828"/>
          <w:kern w:val="0"/>
          <w:sz w:val="28"/>
          <w:szCs w:val="28"/>
          <w:shd w:val="clear" w:color="auto" w:fill="FFFFFF"/>
        </w:rPr>
        <w:t>[2018]105</w:t>
      </w:r>
      <w:r>
        <w:rPr>
          <w:rFonts w:hint="eastAsia" w:ascii="仿宋" w:hAnsi="仿宋" w:eastAsia="仿宋" w:cs="Arial"/>
          <w:color w:val="282828"/>
          <w:kern w:val="0"/>
          <w:sz w:val="28"/>
          <w:szCs w:val="28"/>
          <w:shd w:val="clear" w:color="auto" w:fill="FFFFFF"/>
        </w:rPr>
        <w:t>号）、《辽宁师范大学科研成果认定办法》（辽师大校发</w:t>
      </w:r>
      <w:r>
        <w:rPr>
          <w:rFonts w:ascii="仿宋" w:hAnsi="仿宋" w:eastAsia="仿宋" w:cs="Arial"/>
          <w:color w:val="282828"/>
          <w:kern w:val="0"/>
          <w:sz w:val="28"/>
          <w:szCs w:val="28"/>
          <w:shd w:val="clear" w:color="auto" w:fill="FFFFFF"/>
        </w:rPr>
        <w:t>[2016]46</w:t>
      </w:r>
      <w:r>
        <w:rPr>
          <w:rFonts w:hint="eastAsia" w:ascii="仿宋" w:hAnsi="仿宋" w:eastAsia="仿宋" w:cs="Arial"/>
          <w:color w:val="282828"/>
          <w:kern w:val="0"/>
          <w:sz w:val="28"/>
          <w:szCs w:val="28"/>
          <w:shd w:val="clear" w:color="auto" w:fill="FFFFFF"/>
        </w:rPr>
        <w:t>号）、《辽宁师范大学学术期刊目录》等文件认定成果等级，结合学科、专业发展现状及成果特点，建立职称评价成果目录。成果目录按照相当量级，不断追加的方式进行建设。成果目录的建设尽量采纳有官方认证的可量化的评价标准，不能量化的，以具体事件作为评价依据。教学成果目录详见附件</w:t>
      </w:r>
      <w:r>
        <w:rPr>
          <w:rFonts w:ascii="仿宋" w:hAnsi="仿宋" w:eastAsia="仿宋" w:cs="Arial"/>
          <w:color w:val="282828"/>
          <w:kern w:val="0"/>
          <w:sz w:val="28"/>
          <w:szCs w:val="28"/>
          <w:shd w:val="clear" w:color="auto" w:fill="FFFFFF"/>
        </w:rPr>
        <w:t>3-1</w:t>
      </w:r>
      <w:r>
        <w:rPr>
          <w:rFonts w:hint="eastAsia" w:ascii="仿宋" w:hAnsi="仿宋" w:eastAsia="仿宋" w:cs="Arial"/>
          <w:color w:val="282828"/>
          <w:kern w:val="0"/>
          <w:sz w:val="28"/>
          <w:szCs w:val="28"/>
          <w:shd w:val="clear" w:color="auto" w:fill="FFFFFF"/>
        </w:rPr>
        <w:t>，科研成果目录见附件</w:t>
      </w:r>
      <w:r>
        <w:rPr>
          <w:rFonts w:ascii="仿宋" w:hAnsi="仿宋" w:eastAsia="仿宋" w:cs="Arial"/>
          <w:color w:val="282828"/>
          <w:kern w:val="0"/>
          <w:sz w:val="28"/>
          <w:szCs w:val="28"/>
          <w:shd w:val="clear" w:color="auto" w:fill="FFFFFF"/>
        </w:rPr>
        <w:t>3-2</w:t>
      </w:r>
      <w:r>
        <w:rPr>
          <w:rFonts w:hint="eastAsia" w:ascii="仿宋" w:hAnsi="仿宋" w:eastAsia="仿宋" w:cs="Arial"/>
          <w:color w:val="282828"/>
          <w:kern w:val="0"/>
          <w:sz w:val="28"/>
          <w:szCs w:val="28"/>
          <w:shd w:val="clear" w:color="auto" w:fill="FFFFFF"/>
        </w:rPr>
        <w:t>。</w:t>
      </w:r>
    </w:p>
    <w:p>
      <w:pPr>
        <w:jc w:val="left"/>
        <w:rPr>
          <w:rFonts w:ascii="仿宋" w:hAnsi="仿宋" w:eastAsia="仿宋" w:cs="Arial"/>
          <w:kern w:val="0"/>
          <w:sz w:val="28"/>
          <w:szCs w:val="28"/>
          <w:shd w:val="clear" w:color="auto" w:fill="FFFFFF"/>
        </w:rPr>
      </w:pPr>
      <w:r>
        <w:rPr>
          <w:rFonts w:ascii="仿宋" w:hAnsi="仿宋" w:eastAsia="仿宋" w:cs="Arial"/>
          <w:kern w:val="0"/>
          <w:sz w:val="28"/>
          <w:szCs w:val="28"/>
          <w:shd w:val="clear" w:color="auto" w:fill="FFFFFF"/>
        </w:rPr>
        <w:t xml:space="preserve">    5. </w:t>
      </w:r>
      <w:r>
        <w:rPr>
          <w:rFonts w:hint="eastAsia" w:ascii="仿宋" w:hAnsi="仿宋" w:eastAsia="仿宋" w:cs="Arial"/>
          <w:kern w:val="0"/>
          <w:sz w:val="28"/>
          <w:szCs w:val="28"/>
          <w:shd w:val="clear" w:color="auto" w:fill="FFFFFF"/>
        </w:rPr>
        <w:t>评价方法。根据学院实际情况，师德与育人采取积分制计算分值；教学与科研采取区间制获取各维度原始分值，用加权平均法获取各维度评价分值的评价方法。评价方法说明详见附件</w:t>
      </w:r>
      <w:r>
        <w:rPr>
          <w:rFonts w:ascii="仿宋" w:hAnsi="仿宋" w:eastAsia="仿宋" w:cs="Arial"/>
          <w:kern w:val="0"/>
          <w:sz w:val="28"/>
          <w:szCs w:val="28"/>
          <w:shd w:val="clear" w:color="auto" w:fill="FFFFFF"/>
        </w:rPr>
        <w:t>4</w:t>
      </w:r>
      <w:r>
        <w:rPr>
          <w:rFonts w:hint="eastAsia" w:ascii="仿宋" w:hAnsi="仿宋" w:eastAsia="仿宋" w:cs="Arial"/>
          <w:kern w:val="0"/>
          <w:sz w:val="28"/>
          <w:szCs w:val="28"/>
          <w:shd w:val="clear" w:color="auto" w:fill="FFFFFF"/>
        </w:rPr>
        <w:t>。</w:t>
      </w:r>
    </w:p>
    <w:p>
      <w:pPr>
        <w:jc w:val="left"/>
        <w:rPr>
          <w:rFonts w:ascii="仿宋" w:hAnsi="仿宋" w:eastAsia="仿宋" w:cs="Arial"/>
          <w:kern w:val="0"/>
          <w:sz w:val="28"/>
          <w:szCs w:val="28"/>
          <w:shd w:val="clear" w:color="auto" w:fill="FFFFFF"/>
        </w:rPr>
      </w:pPr>
      <w:r>
        <w:rPr>
          <w:rFonts w:ascii="仿宋" w:hAnsi="仿宋" w:eastAsia="仿宋" w:cs="Arial"/>
          <w:kern w:val="0"/>
          <w:sz w:val="28"/>
          <w:szCs w:val="28"/>
          <w:shd w:val="clear" w:color="auto" w:fill="FFFFFF"/>
        </w:rPr>
        <w:t xml:space="preserve">    </w:t>
      </w:r>
      <w:r>
        <w:rPr>
          <w:rFonts w:hint="eastAsia" w:ascii="仿宋" w:hAnsi="仿宋" w:eastAsia="仿宋" w:cs="Arial"/>
          <w:kern w:val="0"/>
          <w:sz w:val="28"/>
          <w:szCs w:val="28"/>
          <w:shd w:val="clear" w:color="auto" w:fill="FFFFFF"/>
        </w:rPr>
        <w:t>在具体指标的评价上，根据指标特性及学院建设基础，采取定性与定量相结合评价方法。</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（四）评价方式</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教师系列专业技术任职资格的业务评价为学校“门槛条件”之上的水平评价。以同一评价指标体系为基础，严格实行代表作制度，持续推进分类评审。</w:t>
      </w:r>
    </w:p>
    <w:p>
      <w:pPr>
        <w:widowControl/>
        <w:shd w:val="clear" w:color="auto" w:fill="FFFFFF"/>
        <w:ind w:firstLine="516"/>
        <w:jc w:val="left"/>
        <w:rPr>
          <w:rFonts w:ascii="仿宋" w:hAnsi="仿宋" w:eastAsia="仿宋"/>
          <w:sz w:val="28"/>
          <w:szCs w:val="28"/>
        </w:rPr>
      </w:pPr>
      <w:r>
        <w:rPr>
          <w:rFonts w:ascii="仿宋" w:hAnsi="仿宋" w:eastAsia="仿宋"/>
          <w:sz w:val="28"/>
          <w:szCs w:val="28"/>
        </w:rPr>
        <w:t>各类型参评材料上报学校的成果数量限制：科研成果限报12项，教学成果限报12项，社会服务限报2项，共计26项。科研成果类中，科研论文5篇，项目2项，著作1部，获奖2项，其他成果2项；教学成果类中，教学论文、教改项目、教学成果奖、教材、指导学生获优秀学位论文、指导学生获批项目并结题、指导学生获奖、指导学生发表论文、课程建设、教学大赛获奖类成果，每类限2项。</w:t>
      </w:r>
      <w:r>
        <w:rPr>
          <w:rFonts w:hint="eastAsia" w:ascii="仿宋" w:hAnsi="仿宋" w:eastAsia="仿宋" w:cs="Arial"/>
          <w:kern w:val="0"/>
          <w:sz w:val="28"/>
          <w:szCs w:val="28"/>
          <w:shd w:val="clear" w:color="auto" w:fill="FFFFFF"/>
        </w:rPr>
        <w:t>具体见附件</w:t>
      </w:r>
      <w:r>
        <w:rPr>
          <w:rFonts w:ascii="仿宋" w:hAnsi="仿宋" w:eastAsia="仿宋" w:cs="Arial"/>
          <w:kern w:val="0"/>
          <w:sz w:val="28"/>
          <w:szCs w:val="28"/>
          <w:shd w:val="clear" w:color="auto" w:fill="FFFFFF"/>
        </w:rPr>
        <w:t>5</w:t>
      </w:r>
      <w:r>
        <w:rPr>
          <w:rFonts w:hint="eastAsia" w:ascii="仿宋" w:hAnsi="仿宋" w:eastAsia="仿宋" w:cs="Arial"/>
          <w:kern w:val="0"/>
          <w:sz w:val="28"/>
          <w:szCs w:val="28"/>
          <w:shd w:val="clear" w:color="auto" w:fill="FFFFFF"/>
        </w:rPr>
        <w:t>。</w:t>
      </w:r>
      <w:r>
        <w:rPr>
          <w:rFonts w:ascii="仿宋" w:hAnsi="仿宋" w:eastAsia="仿宋"/>
          <w:sz w:val="28"/>
          <w:szCs w:val="28"/>
        </w:rPr>
        <w:t>同一成果不得重复出现。</w:t>
      </w:r>
    </w:p>
    <w:p>
      <w:pPr>
        <w:widowControl/>
        <w:shd w:val="clear" w:color="auto" w:fill="FFFFFF"/>
        <w:ind w:firstLine="516"/>
        <w:jc w:val="left"/>
        <w:rPr>
          <w:rFonts w:ascii="仿宋" w:hAnsi="仿宋" w:eastAsia="仿宋"/>
          <w:sz w:val="28"/>
          <w:szCs w:val="28"/>
        </w:rPr>
      </w:pPr>
      <w:r>
        <w:rPr>
          <w:rFonts w:hint="eastAsia" w:ascii="仿宋" w:hAnsi="仿宋" w:eastAsia="仿宋"/>
          <w:sz w:val="28"/>
          <w:szCs w:val="28"/>
        </w:rPr>
        <w:t>参评全口径教师，教学、科研赋分比例为3:7；参评实训类教师，教学、科研赋分比例为7:3</w:t>
      </w:r>
      <w:r>
        <w:rPr>
          <w:rFonts w:ascii="仿宋" w:hAnsi="仿宋" w:eastAsia="仿宋"/>
          <w:sz w:val="28"/>
          <w:szCs w:val="28"/>
        </w:rPr>
        <w:t>。</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（五）推荐人选的确定</w:t>
      </w:r>
    </w:p>
    <w:p>
      <w:pPr>
        <w:ind w:firstLine="555"/>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按照推荐排序分值由高到低，确定学院推荐到学校的人选。学院内推荐人选分数相同时，由学术委员会重新投票确定名次。</w:t>
      </w:r>
    </w:p>
    <w:p>
      <w:pPr>
        <w:jc w:val="left"/>
        <w:rPr>
          <w:rFonts w:ascii="仿宋" w:hAnsi="仿宋" w:eastAsia="仿宋" w:cs="Arial"/>
          <w:b/>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    </w:t>
      </w:r>
      <w:r>
        <w:rPr>
          <w:rFonts w:hint="eastAsia" w:ascii="仿宋" w:hAnsi="仿宋" w:eastAsia="仿宋" w:cs="Arial"/>
          <w:b/>
          <w:color w:val="282828"/>
          <w:kern w:val="0"/>
          <w:sz w:val="28"/>
          <w:szCs w:val="28"/>
          <w:shd w:val="clear" w:color="auto" w:fill="FFFFFF"/>
        </w:rPr>
        <w:t>三、评审方案的效力</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根据相关要求，结合学院的实际情况，在充分征求学院教职工意见的基础上</w:t>
      </w:r>
      <w:r>
        <w:rPr>
          <w:rFonts w:ascii="仿宋" w:hAnsi="仿宋" w:eastAsia="仿宋" w:cs="Arial"/>
          <w:color w:val="282828"/>
          <w:kern w:val="0"/>
          <w:sz w:val="28"/>
          <w:szCs w:val="28"/>
          <w:shd w:val="clear" w:color="auto" w:fill="FFFFFF"/>
        </w:rPr>
        <w:t>,</w:t>
      </w:r>
      <w:r>
        <w:rPr>
          <w:rFonts w:hint="eastAsia" w:ascii="仿宋" w:hAnsi="仿宋" w:eastAsia="仿宋" w:cs="Arial"/>
          <w:color w:val="282828"/>
          <w:kern w:val="0"/>
          <w:sz w:val="28"/>
          <w:szCs w:val="28"/>
          <w:shd w:val="clear" w:color="auto" w:fill="FFFFFF"/>
        </w:rPr>
        <w:t>制定学院的年度评审推荐方案。方案经学院领导小组</w:t>
      </w:r>
      <w:r>
        <w:rPr>
          <w:rFonts w:ascii="仿宋" w:hAnsi="仿宋" w:eastAsia="仿宋" w:cs="Arial"/>
          <w:color w:val="282828"/>
          <w:kern w:val="0"/>
          <w:sz w:val="28"/>
          <w:szCs w:val="28"/>
          <w:shd w:val="clear" w:color="auto" w:fill="FFFFFF"/>
        </w:rPr>
        <w:t>4/5</w:t>
      </w:r>
      <w:r>
        <w:rPr>
          <w:rFonts w:hint="eastAsia" w:ascii="仿宋" w:hAnsi="仿宋" w:eastAsia="仿宋" w:cs="Arial"/>
          <w:color w:val="282828"/>
          <w:kern w:val="0"/>
          <w:sz w:val="28"/>
          <w:szCs w:val="28"/>
          <w:shd w:val="clear" w:color="auto" w:fill="FFFFFF"/>
        </w:rPr>
        <w:t>以上人员表决同意</w:t>
      </w:r>
      <w:r>
        <w:rPr>
          <w:rFonts w:ascii="仿宋" w:hAnsi="仿宋" w:eastAsia="仿宋" w:cs="Arial"/>
          <w:color w:val="282828"/>
          <w:kern w:val="0"/>
          <w:sz w:val="28"/>
          <w:szCs w:val="28"/>
          <w:shd w:val="clear" w:color="auto" w:fill="FFFFFF"/>
        </w:rPr>
        <w:t>,</w:t>
      </w:r>
      <w:r>
        <w:rPr>
          <w:rFonts w:hint="eastAsia" w:ascii="仿宋" w:hAnsi="仿宋" w:eastAsia="仿宋" w:cs="Arial"/>
          <w:color w:val="282828"/>
          <w:kern w:val="0"/>
          <w:sz w:val="28"/>
          <w:szCs w:val="28"/>
          <w:shd w:val="clear" w:color="auto" w:fill="FFFFFF"/>
        </w:rPr>
        <w:t>并报学校备案后方可生效。方案生效后，对于事先已明确约定的条款，不可调整；对于未穷尽问题，可按指标体系评审权限，获得</w:t>
      </w:r>
      <w:r>
        <w:rPr>
          <w:rFonts w:ascii="仿宋" w:hAnsi="仿宋" w:eastAsia="仿宋" w:cs="Arial"/>
          <w:color w:val="282828"/>
          <w:kern w:val="0"/>
          <w:sz w:val="28"/>
          <w:szCs w:val="28"/>
          <w:shd w:val="clear" w:color="auto" w:fill="FFFFFF"/>
        </w:rPr>
        <w:t>4/5</w:t>
      </w:r>
      <w:r>
        <w:rPr>
          <w:rFonts w:hint="eastAsia" w:ascii="仿宋" w:hAnsi="仿宋" w:eastAsia="仿宋" w:cs="Arial"/>
          <w:color w:val="282828"/>
          <w:kern w:val="0"/>
          <w:sz w:val="28"/>
          <w:szCs w:val="28"/>
          <w:shd w:val="clear" w:color="auto" w:fill="FFFFFF"/>
        </w:rPr>
        <w:t>及以上领导小组表决同意后，方可认定。</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评价体系的建设周期为三年。三年内，领导小组可根据工作需要，随年度评审工作调整。三年后，评价体系即为固定，非国家、省、学校出现政策调整，不得变更。若有变更需求，则按指标体系制定权限，获得</w:t>
      </w:r>
      <w:r>
        <w:rPr>
          <w:rFonts w:ascii="仿宋" w:hAnsi="仿宋" w:eastAsia="仿宋" w:cs="Arial"/>
          <w:color w:val="282828"/>
          <w:kern w:val="0"/>
          <w:sz w:val="28"/>
          <w:szCs w:val="28"/>
          <w:shd w:val="clear" w:color="auto" w:fill="FFFFFF"/>
        </w:rPr>
        <w:t>1/3</w:t>
      </w:r>
      <w:r>
        <w:rPr>
          <w:rFonts w:hint="eastAsia" w:ascii="仿宋" w:hAnsi="仿宋" w:eastAsia="仿宋" w:cs="Arial"/>
          <w:color w:val="282828"/>
          <w:kern w:val="0"/>
          <w:sz w:val="28"/>
          <w:szCs w:val="28"/>
          <w:shd w:val="clear" w:color="auto" w:fill="FFFFFF"/>
        </w:rPr>
        <w:t>及以上评委提案，或学院职代会提案，经过上述程序审议通过、备案后，方可变更并生效。</w:t>
      </w:r>
    </w:p>
    <w:p>
      <w:pPr>
        <w:widowControl/>
        <w:shd w:val="clear" w:color="auto" w:fill="FFFFFF"/>
        <w:ind w:firstLine="516"/>
        <w:jc w:val="left"/>
        <w:rPr>
          <w:rFonts w:ascii="仿宋" w:hAnsi="仿宋" w:eastAsia="仿宋" w:cs="Arial"/>
          <w:b/>
          <w:color w:val="282828"/>
          <w:kern w:val="0"/>
          <w:sz w:val="28"/>
          <w:szCs w:val="28"/>
          <w:shd w:val="clear" w:color="auto" w:fill="FFFFFF"/>
        </w:rPr>
      </w:pPr>
      <w:r>
        <w:rPr>
          <w:rFonts w:hint="eastAsia" w:ascii="仿宋" w:hAnsi="仿宋" w:eastAsia="仿宋" w:cs="Arial"/>
          <w:b/>
          <w:color w:val="282828"/>
          <w:kern w:val="0"/>
          <w:sz w:val="28"/>
          <w:szCs w:val="28"/>
          <w:shd w:val="clear" w:color="auto" w:fill="FFFFFF"/>
        </w:rPr>
        <w:t>四、监管体系</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（一）推行职称评审公开制度，实行政策公开、标准公开、程序公开、结果公开，公示日期为5个工作日。各种问题须在公示期内，按权限处理，逾期不再受理。</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（二）完善投诉举报制度。学院在学校公示平台设立职称评审专项监督信箱及监督电话，畅通教职工意见反映渠道，及时受理教职工反映的有关问题。</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三）建立复查、申诉机制。相关人员若有异议，可在相应公示日期内，向本单位工作组申诉，要求复查，逾期不予受理。若复查后仍有异议，二级单位可采取申诉人同意的方式，如扩大教师代表参与、外审（由此产生的费用，由本单位承担）等方式，再行评审，此结果为终审结果。</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（四）实行巡查制度，学校每年度以不低于10%的比例到各相关二级单位进行评审推荐工作的巡查。凡职称评审工作中存在问题比较集中的单位，学校将根据情况，在学校年度绩效考核评价中予以体现。</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（五）审核申报材料实行责任制，谁审核，谁负责。学校对于参评人材料的审核实行抽查制。凡单位推荐人选任职资格、评审材料审核有误，对评审结果造成影响的，将追究资格审查小组及当事人责任。</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（六）建立倒查追责机制。相关人员须对职责行为终身负责。若有违规违纪行为，或造成不良影响的，一经查实，将按《中国共产党党员纪律处分条例》及相关行政处分条例处理。</w:t>
      </w:r>
    </w:p>
    <w:p>
      <w:pPr>
        <w:widowControl/>
        <w:shd w:val="clear" w:color="auto" w:fill="FFFFFF"/>
        <w:ind w:firstLine="516"/>
        <w:jc w:val="left"/>
        <w:rPr>
          <w:rFonts w:ascii="仿宋" w:hAnsi="仿宋" w:eastAsia="仿宋" w:cs="Arial"/>
          <w:b/>
          <w:color w:val="282828"/>
          <w:kern w:val="0"/>
          <w:sz w:val="28"/>
          <w:szCs w:val="28"/>
          <w:shd w:val="clear" w:color="auto" w:fill="FFFFFF"/>
        </w:rPr>
      </w:pPr>
      <w:r>
        <w:rPr>
          <w:rFonts w:hint="eastAsia" w:ascii="仿宋" w:hAnsi="仿宋" w:eastAsia="仿宋" w:cs="Arial"/>
          <w:b/>
          <w:color w:val="282828"/>
          <w:kern w:val="0"/>
          <w:sz w:val="28"/>
          <w:szCs w:val="28"/>
          <w:shd w:val="clear" w:color="auto" w:fill="FFFFFF"/>
        </w:rPr>
        <w:t>五、其他</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一）实行师德一票否决、学术不端一票否决。凡师德失范，学术不端，造成一定不良影响的，经评审小组认定，实行一票否决。对于评审期间的举报事件，若于近期内不能查实，本着可疑从无的理念，可先行评审。一待查实，经组织认定，可取消相应资格。</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（二）阶段性整体推进制度。严格按照学校的日程安排推进工作，对于出现的各种特殊情况和问题，按照所属阶段，采取民主集中制的方式分段解决，不得延误工作日程。</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（三）实行回避制度，与参评人有直系血亲、三代以内旁系血亲和姻亲关系的，不得作为评审专家。</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（四）推行实名制评审制度。采取委托第三方计票等形式，推进实名制评审制度。</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（五）实行个人和单位双承诺制度，申报人和用人单位须对申报材料的真实性与有效性作出书面承诺并负责。</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（六）领导小组要经常对成员进行职责教育、工作程序和评审规则培训，提升评审专家的工作认识和评审能力。</w:t>
      </w:r>
    </w:p>
    <w:p>
      <w:pPr>
        <w:widowControl/>
        <w:shd w:val="clear" w:color="auto" w:fill="FFFFFF"/>
        <w:ind w:firstLine="516"/>
        <w:jc w:val="lef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本意见由学院学术委员会负责解释，自发布之日起施行。</w:t>
      </w:r>
    </w:p>
    <w:p>
      <w:pPr>
        <w:widowControl/>
        <w:shd w:val="clear" w:color="auto" w:fill="FFFFFF"/>
        <w:ind w:firstLine="516"/>
        <w:jc w:val="left"/>
        <w:rPr>
          <w:rFonts w:ascii="仿宋" w:hAnsi="仿宋" w:eastAsia="仿宋" w:cs="Arial"/>
          <w:color w:val="282828"/>
          <w:kern w:val="0"/>
          <w:sz w:val="28"/>
          <w:szCs w:val="28"/>
          <w:shd w:val="clear" w:color="auto" w:fill="FFFFFF"/>
        </w:rPr>
      </w:pPr>
    </w:p>
    <w:p>
      <w:pPr>
        <w:widowControl/>
        <w:shd w:val="clear" w:color="auto" w:fill="FFFFFF"/>
        <w:ind w:firstLine="516"/>
        <w:jc w:val="left"/>
        <w:rPr>
          <w:rFonts w:ascii="仿宋" w:hAnsi="仿宋" w:eastAsia="仿宋" w:cs="Arial"/>
          <w:color w:val="282828"/>
          <w:kern w:val="0"/>
          <w:sz w:val="28"/>
          <w:szCs w:val="28"/>
          <w:shd w:val="clear" w:color="auto" w:fill="FFFFFF"/>
        </w:rPr>
      </w:pPr>
    </w:p>
    <w:p>
      <w:pPr>
        <w:widowControl/>
        <w:shd w:val="clear" w:color="auto" w:fill="FFFFFF"/>
        <w:ind w:firstLine="516"/>
        <w:jc w:val="lef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r>
        <w:rPr>
          <w:rFonts w:hint="eastAsia" w:ascii="仿宋" w:hAnsi="仿宋" w:eastAsia="仿宋" w:cs="Arial"/>
          <w:color w:val="282828"/>
          <w:kern w:val="0"/>
          <w:sz w:val="28"/>
          <w:szCs w:val="28"/>
          <w:shd w:val="clear" w:color="auto" w:fill="FFFFFF"/>
        </w:rPr>
        <w:t>辽宁师范大学历史文化旅游学院</w:t>
      </w:r>
    </w:p>
    <w:p>
      <w:pPr>
        <w:widowControl/>
        <w:shd w:val="clear" w:color="auto" w:fill="FFFFFF"/>
        <w:ind w:right="560" w:firstLine="516"/>
        <w:jc w:val="center"/>
        <w:rPr>
          <w:rFonts w:ascii="仿宋" w:hAnsi="仿宋" w:eastAsia="仿宋" w:cs="Arial"/>
          <w:color w:val="282828"/>
          <w:kern w:val="0"/>
          <w:sz w:val="28"/>
          <w:szCs w:val="28"/>
          <w:shd w:val="clear" w:color="auto" w:fill="FFFFFF"/>
        </w:rPr>
      </w:pPr>
      <w:r>
        <w:rPr>
          <w:rFonts w:ascii="仿宋" w:hAnsi="仿宋" w:eastAsia="仿宋" w:cs="Arial"/>
          <w:color w:val="282828"/>
          <w:kern w:val="0"/>
          <w:sz w:val="28"/>
          <w:szCs w:val="28"/>
          <w:shd w:val="clear" w:color="auto" w:fill="FFFFFF"/>
        </w:rPr>
        <w:t xml:space="preserve">                                201</w:t>
      </w:r>
      <w:r>
        <w:rPr>
          <w:rFonts w:hint="eastAsia" w:ascii="仿宋" w:hAnsi="仿宋" w:eastAsia="仿宋" w:cs="Arial"/>
          <w:color w:val="282828"/>
          <w:kern w:val="0"/>
          <w:sz w:val="28"/>
          <w:szCs w:val="28"/>
          <w:shd w:val="clear" w:color="auto" w:fill="FFFFFF"/>
        </w:rPr>
        <w:t>9年</w:t>
      </w:r>
      <w:r>
        <w:rPr>
          <w:rFonts w:ascii="仿宋" w:hAnsi="仿宋" w:eastAsia="仿宋" w:cs="Arial"/>
          <w:color w:val="282828"/>
          <w:kern w:val="0"/>
          <w:sz w:val="28"/>
          <w:szCs w:val="28"/>
          <w:shd w:val="clear" w:color="auto" w:fill="FFFFFF"/>
        </w:rPr>
        <w:t>1</w:t>
      </w:r>
      <w:r>
        <w:rPr>
          <w:rFonts w:hint="eastAsia" w:ascii="仿宋" w:hAnsi="仿宋" w:eastAsia="仿宋" w:cs="Arial"/>
          <w:color w:val="282828"/>
          <w:kern w:val="0"/>
          <w:sz w:val="28"/>
          <w:szCs w:val="28"/>
          <w:shd w:val="clear" w:color="auto" w:fill="FFFFFF"/>
        </w:rPr>
        <w:t>0月19日</w:t>
      </w: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widowControl/>
        <w:shd w:val="clear" w:color="auto" w:fill="FFFFFF"/>
        <w:ind w:firstLine="516"/>
        <w:jc w:val="right"/>
        <w:rPr>
          <w:rFonts w:ascii="仿宋" w:hAnsi="仿宋" w:eastAsia="仿宋" w:cs="Arial"/>
          <w:color w:val="282828"/>
          <w:kern w:val="0"/>
          <w:sz w:val="28"/>
          <w:szCs w:val="28"/>
          <w:shd w:val="clear" w:color="auto" w:fill="FFFFFF"/>
        </w:rPr>
      </w:pPr>
    </w:p>
    <w:p>
      <w:pPr>
        <w:jc w:val="center"/>
        <w:rPr>
          <w:sz w:val="28"/>
          <w:szCs w:val="28"/>
        </w:rPr>
      </w:pPr>
    </w:p>
    <w:p>
      <w:pPr>
        <w:rPr>
          <w:sz w:val="28"/>
          <w:szCs w:val="28"/>
        </w:rPr>
      </w:pPr>
    </w:p>
    <w:p>
      <w:pPr>
        <w:spacing w:beforeLines="100" w:afterLines="100"/>
        <w:rPr>
          <w:b/>
        </w:rPr>
      </w:pPr>
    </w:p>
    <w:p>
      <w:pPr>
        <w:spacing w:beforeLines="100" w:afterLines="100"/>
        <w:rPr>
          <w:b/>
        </w:rPr>
      </w:pPr>
    </w:p>
    <w:p>
      <w:pPr>
        <w:spacing w:beforeLines="100" w:afterLines="100"/>
        <w:rPr>
          <w:b/>
        </w:rPr>
      </w:pPr>
    </w:p>
    <w:p>
      <w:pPr>
        <w:spacing w:beforeLines="100" w:afterLines="100"/>
        <w:rPr>
          <w:b/>
        </w:rPr>
      </w:pPr>
      <w:r>
        <w:rPr>
          <w:b/>
        </w:rPr>
        <w:t>附件1：指标体系（总表）</w:t>
      </w:r>
    </w:p>
    <w:tbl>
      <w:tblPr>
        <w:tblStyle w:val="5"/>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0"/>
        <w:gridCol w:w="1844"/>
        <w:gridCol w:w="4363"/>
        <w:gridCol w:w="11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960" w:type="dxa"/>
            <w:tcBorders>
              <w:top w:val="outset" w:color="auto" w:sz="6" w:space="0"/>
              <w:left w:val="outset" w:color="auto" w:sz="6" w:space="0"/>
              <w:bottom w:val="outset" w:color="auto" w:sz="6" w:space="0"/>
              <w:right w:val="outset" w:color="auto" w:sz="6" w:space="0"/>
            </w:tcBorders>
            <w:shd w:val="clear" w:color="auto" w:fill="auto"/>
            <w:vAlign w:val="center"/>
          </w:tcPr>
          <w:p>
            <w:r>
              <w:t>维度</w:t>
            </w:r>
          </w:p>
        </w:tc>
        <w:tc>
          <w:tcPr>
            <w:tcW w:w="1844" w:type="dxa"/>
            <w:tcBorders>
              <w:top w:val="outset" w:color="auto" w:sz="6" w:space="0"/>
              <w:left w:val="outset" w:color="auto" w:sz="6" w:space="0"/>
              <w:bottom w:val="outset" w:color="auto" w:sz="6" w:space="0"/>
              <w:right w:val="outset" w:color="auto" w:sz="6" w:space="0"/>
            </w:tcBorders>
            <w:shd w:val="clear" w:color="auto" w:fill="auto"/>
            <w:vAlign w:val="center"/>
          </w:tcPr>
          <w:p>
            <w:r>
              <w:t>一级指标</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二级指标</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评定分数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trPr>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师德与育人</w:t>
            </w:r>
          </w:p>
          <w:p>
            <w:r>
              <w:t>（分值：100；权重：10%）</w:t>
            </w:r>
          </w:p>
        </w:tc>
        <w:tc>
          <w:tcPr>
            <w:tcW w:w="184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师德</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评优选先</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学术道德（本人与指导学生）</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0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师德师风</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0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教学事故</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受到党纪政纪处分者，当年评职一票否决</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96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tcBorders>
              <w:top w:val="outset" w:color="auto" w:sz="6" w:space="0"/>
              <w:left w:val="outset" w:color="auto" w:sz="6" w:space="0"/>
              <w:bottom w:val="outset" w:color="auto" w:sz="6" w:space="0"/>
              <w:right w:val="outset" w:color="auto" w:sz="6" w:space="0"/>
            </w:tcBorders>
            <w:shd w:val="clear" w:color="auto" w:fill="auto"/>
            <w:vAlign w:val="center"/>
          </w:tcPr>
          <w:p>
            <w:r>
              <w:t>育人</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在单位日常工作中的贡献与表现（积极参与学院发展的相关工作：学科建设，学科评估，重点实验室建设，就业等工作）</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960" w:hRule="atLeast"/>
        </w:trPr>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教学（分值：100；权重：全口径教师27%，实训类教师63%）</w:t>
            </w:r>
          </w:p>
        </w:tc>
        <w:tc>
          <w:tcPr>
            <w:tcW w:w="1844" w:type="dxa"/>
            <w:tcBorders>
              <w:top w:val="outset" w:color="auto" w:sz="6" w:space="0"/>
              <w:left w:val="outset" w:color="auto" w:sz="6" w:space="0"/>
              <w:bottom w:val="outset" w:color="auto" w:sz="6" w:space="0"/>
              <w:right w:val="outset" w:color="auto" w:sz="6" w:space="0"/>
            </w:tcBorders>
            <w:shd w:val="clear" w:color="auto" w:fill="auto"/>
            <w:vAlign w:val="center"/>
          </w:tcPr>
          <w:p>
            <w:r>
              <w:t>教学工作量完成情况（含折合）（50%）</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工作量完成情况(100%)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0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教学成果（50%）</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教学研究论文（15%）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教学改革研究项目（15%）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教学成果获奖（15%）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0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教材（15%）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指导学生获优秀学位论文（5%）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指导学生获批项目（5%）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指导学生获奖（5%）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指导学生发表论文（5%）</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9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教学大赛获奖（10%）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0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课程建设（10%）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96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科研（分值：100；权重：全口径教师63%，实训类教师27%）</w:t>
            </w:r>
          </w:p>
        </w:tc>
        <w:tc>
          <w:tcPr>
            <w:tcW w:w="184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科研成果（80%）</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学术论文（</w:t>
            </w:r>
            <w:r>
              <w:rPr>
                <w:rFonts w:hint="eastAsia"/>
              </w:rPr>
              <w:t>45</w:t>
            </w:r>
            <w:r>
              <w:t>%）</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科研项目（</w:t>
            </w:r>
            <w:r>
              <w:rPr>
                <w:rFonts w:hint="eastAsia"/>
              </w:rPr>
              <w:t>3</w:t>
            </w:r>
            <w:r>
              <w:t>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学术著作（</w:t>
            </w:r>
            <w:r>
              <w:rPr>
                <w:rFonts w:hint="eastAsia"/>
              </w:rPr>
              <w:t>15</w:t>
            </w:r>
            <w:r>
              <w:t>%）</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学术获奖（10%）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30"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tcBorders>
              <w:top w:val="outset" w:color="auto" w:sz="6" w:space="0"/>
              <w:left w:val="outset" w:color="auto" w:sz="6" w:space="0"/>
              <w:right w:val="outset" w:color="auto" w:sz="6" w:space="0"/>
            </w:tcBorders>
            <w:shd w:val="clear" w:color="auto" w:fill="auto"/>
            <w:vAlign w:val="center"/>
          </w:tcPr>
          <w:p>
            <w:r>
              <w:t>学科贡献（5%）</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学位点建设</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1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服务社会（15%）</w:t>
            </w: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社科服务（50%）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45" w:hRule="atLeast"/>
        </w:trPr>
        <w:tc>
          <w:tcPr>
            <w:tcW w:w="96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84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4363" w:type="dxa"/>
            <w:tcBorders>
              <w:top w:val="outset" w:color="auto" w:sz="6" w:space="0"/>
              <w:left w:val="outset" w:color="auto" w:sz="6" w:space="0"/>
              <w:bottom w:val="outset" w:color="auto" w:sz="6" w:space="0"/>
              <w:right w:val="outset" w:color="auto" w:sz="6" w:space="0"/>
            </w:tcBorders>
            <w:shd w:val="clear" w:color="auto" w:fill="auto"/>
            <w:vAlign w:val="center"/>
          </w:tcPr>
          <w:p>
            <w:r>
              <w:t>决策咨询（50%）</w:t>
            </w:r>
          </w:p>
        </w:tc>
        <w:tc>
          <w:tcPr>
            <w:tcW w:w="115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r>
    </w:tbl>
    <w:p>
      <w:r>
        <w:t> </w:t>
      </w:r>
    </w:p>
    <w:p/>
    <w:p/>
    <w:p/>
    <w:p/>
    <w:p/>
    <w:p/>
    <w:p/>
    <w:p/>
    <w:p/>
    <w:p/>
    <w:p>
      <w:pPr>
        <w:spacing w:beforeLines="100" w:afterLines="100"/>
        <w:rPr>
          <w:b/>
        </w:rPr>
      </w:pPr>
      <w:r>
        <w:rPr>
          <w:b/>
        </w:rPr>
        <w:t>附件2-1：师德、育人评价指标体系</w:t>
      </w:r>
    </w:p>
    <w:tbl>
      <w:tblPr>
        <w:tblStyle w:val="5"/>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05"/>
        <w:gridCol w:w="984"/>
        <w:gridCol w:w="2089"/>
        <w:gridCol w:w="35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90" w:hRule="atLeast"/>
        </w:trPr>
        <w:tc>
          <w:tcPr>
            <w:tcW w:w="1705" w:type="dxa"/>
            <w:tcBorders>
              <w:top w:val="outset" w:color="auto" w:sz="6" w:space="0"/>
              <w:left w:val="outset" w:color="auto" w:sz="6" w:space="0"/>
              <w:bottom w:val="outset" w:color="auto" w:sz="6" w:space="0"/>
              <w:right w:val="outset" w:color="auto" w:sz="6" w:space="0"/>
            </w:tcBorders>
            <w:shd w:val="clear" w:color="auto" w:fill="auto"/>
            <w:vAlign w:val="center"/>
          </w:tcPr>
          <w:p>
            <w:r>
              <w:t>维度</w:t>
            </w:r>
          </w:p>
        </w:tc>
        <w:tc>
          <w:tcPr>
            <w:tcW w:w="984" w:type="dxa"/>
            <w:tcBorders>
              <w:top w:val="outset" w:color="auto" w:sz="6" w:space="0"/>
              <w:left w:val="outset" w:color="auto" w:sz="6" w:space="0"/>
              <w:bottom w:val="outset" w:color="auto" w:sz="6" w:space="0"/>
              <w:right w:val="outset" w:color="auto" w:sz="6" w:space="0"/>
            </w:tcBorders>
            <w:shd w:val="clear" w:color="auto" w:fill="auto"/>
            <w:vAlign w:val="center"/>
          </w:tcPr>
          <w:p>
            <w:r>
              <w:t>一级指标</w:t>
            </w: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pPr>
              <w:ind w:firstLine="525" w:firstLineChars="250"/>
            </w:pPr>
            <w:r>
              <w:t>二级指标</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pPr>
              <w:ind w:firstLine="1470" w:firstLineChars="700"/>
            </w:pPr>
            <w:r>
              <w:t>评定分数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rPr>
        <w:tc>
          <w:tcPr>
            <w:tcW w:w="170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师德与育人（分值：100权重：10%）</w:t>
            </w:r>
          </w:p>
          <w:p>
            <w:r>
              <w:t>1.本项设基准分</w:t>
            </w:r>
            <w:r>
              <w:rPr>
                <w:rFonts w:hint="eastAsia"/>
                <w:lang w:val="en-US" w:eastAsia="zh-CN"/>
              </w:rPr>
              <w:t>6</w:t>
            </w:r>
            <w:bookmarkStart w:id="0" w:name="_GoBack"/>
            <w:bookmarkEnd w:id="0"/>
            <w:r>
              <w:t>0分，在此基础上进行增减。2.本项低于60分者不得参评。3.每项荣誉称号不重复累加，按最高荣誉项加分。4.分数加满为止。5.本项认定内容统计时间段为任现职以来。</w:t>
            </w:r>
          </w:p>
          <w:p>
            <w:r>
              <w:t> </w:t>
            </w:r>
          </w:p>
        </w:tc>
        <w:tc>
          <w:tcPr>
            <w:tcW w:w="98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师德</w:t>
            </w: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评优选先</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1.获国家级各类先进个人荣誉称号者加15分；获省部级各类先进个人荣誉称号者加10分；获市级各类先进个人荣誉称号者7分。</w:t>
            </w:r>
          </w:p>
          <w:p>
            <w:r>
              <w:t>2.获学校各类先进个人荣誉称号者：突出贡献先进个人、优秀教师、优秀教育工作者、三育人先进个人、优秀共产党员、优秀党务工作者加5分；其他校级单项荣誉称号加3分。以学校表彰文件为准。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690" w:hRule="atLeast"/>
        </w:trPr>
        <w:tc>
          <w:tcPr>
            <w:tcW w:w="1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8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学术道德（本人与指导学生）</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违反学校规定的学术不端行为，每发现一条减20分；评职当年不得有学校公布的学术不端行为。（一票否决）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465" w:hRule="atLeast"/>
        </w:trPr>
        <w:tc>
          <w:tcPr>
            <w:tcW w:w="1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8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师德师风</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有学校公布的师德负面清单中的行为，每发现一条减20分；评职当年不得有学校公布的师德负面清单中的行为。（一票否决）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840" w:hRule="atLeast"/>
        </w:trPr>
        <w:tc>
          <w:tcPr>
            <w:tcW w:w="1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8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教学事故</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发生一级教学事故减30分；二级教学事故减20分；三级教学事故减10分；评职当年不得有学校认定的教学事故（当年发生二级及以上教学事故的，一票否决）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735" w:hRule="atLeast"/>
        </w:trPr>
        <w:tc>
          <w:tcPr>
            <w:tcW w:w="1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8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受到党纪政纪处分者，当年评职一票否决</w:t>
            </w:r>
            <w:r>
              <w:rPr>
                <w:rFonts w:hint="eastAsia"/>
              </w:rPr>
              <w:t>。</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视其情节一事一议。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0" w:hRule="atLeast"/>
        </w:trPr>
        <w:tc>
          <w:tcPr>
            <w:tcW w:w="1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84" w:type="dxa"/>
            <w:tcBorders>
              <w:top w:val="outset" w:color="auto" w:sz="6" w:space="0"/>
              <w:left w:val="outset" w:color="auto" w:sz="6" w:space="0"/>
              <w:bottom w:val="outset" w:color="auto" w:sz="6" w:space="0"/>
              <w:right w:val="outset" w:color="auto" w:sz="6" w:space="0"/>
            </w:tcBorders>
            <w:shd w:val="clear" w:color="auto" w:fill="auto"/>
            <w:vAlign w:val="center"/>
          </w:tcPr>
          <w:p>
            <w:r>
              <w:t>育人</w:t>
            </w:r>
          </w:p>
        </w:tc>
        <w:tc>
          <w:tcPr>
            <w:tcW w:w="2089" w:type="dxa"/>
            <w:tcBorders>
              <w:top w:val="outset" w:color="auto" w:sz="6" w:space="0"/>
              <w:left w:val="outset" w:color="auto" w:sz="6" w:space="0"/>
              <w:bottom w:val="outset" w:color="auto" w:sz="6" w:space="0"/>
              <w:right w:val="outset" w:color="auto" w:sz="6" w:space="0"/>
            </w:tcBorders>
            <w:shd w:val="clear" w:color="auto" w:fill="auto"/>
            <w:vAlign w:val="center"/>
          </w:tcPr>
          <w:p>
            <w:r>
              <w:t>在单位日常工作中的贡献与表现（积极参与学院发展相关工作：学科建设、学科评估、重点实验室建设、就业等工作）</w:t>
            </w:r>
          </w:p>
        </w:tc>
        <w:tc>
          <w:tcPr>
            <w:tcW w:w="3544" w:type="dxa"/>
            <w:tcBorders>
              <w:top w:val="outset" w:color="auto" w:sz="6" w:space="0"/>
              <w:left w:val="outset" w:color="auto" w:sz="6" w:space="0"/>
              <w:bottom w:val="outset" w:color="auto" w:sz="6" w:space="0"/>
              <w:right w:val="outset" w:color="auto" w:sz="6" w:space="0"/>
            </w:tcBorders>
            <w:shd w:val="clear" w:color="auto" w:fill="auto"/>
            <w:vAlign w:val="center"/>
          </w:tcPr>
          <w:p>
            <w:r>
              <w:t>主动承担学院布置的工作任务，积极作为，完成任务，每项加3分，满分为15分。</w:t>
            </w:r>
          </w:p>
        </w:tc>
      </w:tr>
    </w:tbl>
    <w:p>
      <w:r>
        <w:t> </w:t>
      </w:r>
    </w:p>
    <w:p/>
    <w:p/>
    <w:p/>
    <w:p/>
    <w:p/>
    <w:p/>
    <w:p/>
    <w:p/>
    <w:p/>
    <w:p>
      <w:pPr>
        <w:spacing w:beforeLines="100" w:afterLines="100"/>
        <w:rPr>
          <w:b/>
        </w:rPr>
      </w:pPr>
      <w:r>
        <w:rPr>
          <w:b/>
        </w:rPr>
        <w:t>附件2-2：教学评价指标体系</w:t>
      </w:r>
    </w:p>
    <w:tbl>
      <w:tblPr>
        <w:tblStyle w:val="5"/>
        <w:tblW w:w="8797"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13"/>
        <w:gridCol w:w="1139"/>
        <w:gridCol w:w="1164"/>
        <w:gridCol w:w="602"/>
        <w:gridCol w:w="1157"/>
        <w:gridCol w:w="40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jc w:val="center"/>
        </w:trPr>
        <w:tc>
          <w:tcPr>
            <w:tcW w:w="713" w:type="dxa"/>
            <w:tcBorders>
              <w:top w:val="outset" w:color="auto" w:sz="6" w:space="0"/>
              <w:left w:val="outset" w:color="auto" w:sz="6" w:space="0"/>
              <w:bottom w:val="outset" w:color="auto" w:sz="6" w:space="0"/>
              <w:right w:val="outset" w:color="auto" w:sz="6" w:space="0"/>
            </w:tcBorders>
            <w:shd w:val="clear" w:color="auto" w:fill="auto"/>
            <w:vAlign w:val="center"/>
          </w:tcPr>
          <w:p>
            <w:r>
              <w:t>维度</w:t>
            </w:r>
          </w:p>
        </w:tc>
        <w:tc>
          <w:tcPr>
            <w:tcW w:w="1139" w:type="dxa"/>
            <w:tcBorders>
              <w:top w:val="outset" w:color="auto" w:sz="6" w:space="0"/>
              <w:left w:val="outset" w:color="auto" w:sz="6" w:space="0"/>
              <w:bottom w:val="outset" w:color="auto" w:sz="6" w:space="0"/>
              <w:right w:val="outset" w:color="auto" w:sz="6" w:space="0"/>
            </w:tcBorders>
            <w:shd w:val="clear" w:color="auto" w:fill="auto"/>
            <w:vAlign w:val="center"/>
          </w:tcPr>
          <w:p>
            <w:r>
              <w:t>一级指标</w:t>
            </w:r>
          </w:p>
        </w:tc>
        <w:tc>
          <w:tcPr>
            <w:tcW w:w="1164" w:type="dxa"/>
            <w:tcBorders>
              <w:top w:val="outset" w:color="auto" w:sz="6" w:space="0"/>
              <w:left w:val="outset" w:color="auto" w:sz="6" w:space="0"/>
              <w:bottom w:val="outset" w:color="auto" w:sz="6" w:space="0"/>
              <w:right w:val="outset" w:color="auto" w:sz="6" w:space="0"/>
            </w:tcBorders>
            <w:shd w:val="clear" w:color="auto" w:fill="auto"/>
            <w:vAlign w:val="center"/>
          </w:tcPr>
          <w:p>
            <w:r>
              <w:t>二级指标</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档次</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分数区间</w:t>
            </w:r>
          </w:p>
        </w:tc>
        <w:tc>
          <w:tcPr>
            <w:tcW w:w="4022" w:type="dxa"/>
            <w:tcBorders>
              <w:top w:val="outset" w:color="auto" w:sz="6" w:space="0"/>
              <w:left w:val="outset" w:color="auto" w:sz="6" w:space="0"/>
              <w:bottom w:val="single" w:color="auto" w:sz="4" w:space="0"/>
              <w:right w:val="outset" w:color="auto" w:sz="6" w:space="0"/>
            </w:tcBorders>
            <w:shd w:val="clear" w:color="auto" w:fill="auto"/>
            <w:vAlign w:val="center"/>
          </w:tcPr>
          <w:p>
            <w:r>
              <w:t>标准（单位自行设定）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jc w:val="center"/>
        </w:trPr>
        <w:tc>
          <w:tcPr>
            <w:tcW w:w="71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教学（分值：100；权重：a）</w:t>
            </w:r>
          </w:p>
        </w:tc>
        <w:tc>
          <w:tcPr>
            <w:tcW w:w="113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教学工作量完成情况（含折合）（50%）</w:t>
            </w: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工作量完成情况（100%）</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w:t>
            </w:r>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超额完成教学工作量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80-8</w:t>
            </w:r>
            <w:r>
              <w:t>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等额或通过科研折合后完成教学工作量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教学成果（50%）</w:t>
            </w: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教学研究论文（15%）</w:t>
            </w:r>
            <w:r>
              <w:rPr>
                <w:rFonts w:hint="eastAsia"/>
              </w:rPr>
              <w:t>：</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B类以上论文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w:t>
            </w:r>
            <w:r>
              <w:rPr>
                <w:rFonts w:hint="eastAsia"/>
              </w:rPr>
              <w:t>5</w:t>
            </w:r>
            <w:r>
              <w:t>,</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Cssci论文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w:t>
            </w:r>
            <w:r>
              <w:rPr>
                <w:rFonts w:hint="eastAsia"/>
              </w:rPr>
              <w:t>74]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学校规定的C类论文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学校规定的D类论文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right w:val="outset" w:color="auto" w:sz="6" w:space="0"/>
            </w:tcBorders>
            <w:shd w:val="clear" w:color="auto" w:fill="auto"/>
            <w:vAlign w:val="center"/>
          </w:tcPr>
          <w:p>
            <w:r>
              <w:t>教学改革研究项目（15%）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国家级：教育部教育教学改革研究项目及相当量级项目主持人。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w:t>
            </w:r>
            <w:r>
              <w:rPr>
                <w:rFonts w:hint="eastAsia"/>
              </w:rPr>
              <w:t>5</w:t>
            </w:r>
            <w:r>
              <w:t>,</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省级：教育厅立项的普通高等教育本科教学改革研究项目及相当量级项目主持人</w:t>
            </w:r>
            <w:r>
              <w:rPr>
                <w:rFonts w:hint="eastAsia"/>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60</w:t>
            </w:r>
            <w:r>
              <w:t>,</w:t>
            </w:r>
            <w:r>
              <w:rPr>
                <w:rFonts w:hint="eastAsia"/>
              </w:rPr>
              <w:t>74]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校级：辽宁师范大学教学改革研究项目主持人。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0</w:t>
            </w:r>
            <w:r>
              <w:t>,</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国家级教改项目第1、2参与人或省级教改项目第1参与人。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right w:val="outset" w:color="auto" w:sz="6" w:space="0"/>
            </w:tcBorders>
            <w:shd w:val="clear" w:color="auto" w:fill="auto"/>
            <w:vAlign w:val="center"/>
          </w:tcPr>
          <w:p>
            <w:r>
              <w:t>教学成果获奖（15%）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国家级：教育部评选的国家级教学成果奖及相当量级成果主持人。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w:t>
            </w:r>
            <w:r>
              <w:rPr>
                <w:rFonts w:hint="eastAsia"/>
              </w:rPr>
              <w:t>5</w:t>
            </w:r>
            <w:r>
              <w:t>,</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省级：教育厅评选的辽宁省普通高等教育本科教学成果奖及相当量级成果主持人。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60</w:t>
            </w:r>
            <w:r>
              <w:t>,</w:t>
            </w:r>
            <w:r>
              <w:rPr>
                <w:rFonts w:hint="eastAsia"/>
              </w:rPr>
              <w:t>74]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校级教学成果获奖主持人。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0</w:t>
            </w:r>
            <w:r>
              <w:t>,</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国家级或省级教学成果获奖参与人。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right w:val="outset" w:color="auto" w:sz="6" w:space="0"/>
            </w:tcBorders>
            <w:shd w:val="clear" w:color="auto" w:fill="auto"/>
            <w:vAlign w:val="center"/>
          </w:tcPr>
          <w:p>
            <w:r>
              <w:t>教材（15%）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国家级：教育部评选的普通高等教育本科国家级规划教材及相当量级教材主编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省级：教育厅评选的普通高等教育本科省级规划教材及相当量级教材主编。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6</w:t>
            </w:r>
            <w:r>
              <w:t>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w:t>
            </w:r>
            <w:r>
              <w:rPr>
                <w:rFonts w:hint="eastAsia"/>
              </w:rPr>
              <w:t>0</w:t>
            </w:r>
            <w:r>
              <w:t>,</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以上各级教材参与撰写人。（备注：须署作者实名的教材）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指导学生获优秀学位论文（5%）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国家级：教育部和国务院学位委员会评选的优秀硕士、博士学位论文（或提名）。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省级：辽宁省教育厅和辽宁省人民政府学位委员会评选的优秀硕士、博士学位论文（或提名）。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r>
              <w:t>]</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校级：学校评选的优秀硕士学位论文。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校级：学校评选的优秀学士学位论文。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指导学生获批项目（5%）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国家级：国家级大学生创新创业训练计划项目。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省级：辽宁省大学生创新创业训练计划项目。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两</w:t>
            </w:r>
            <w:r>
              <w:t>项校级：辽宁师范大学创新创业训练计划项目、本科生自主科研立项。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1项校级：辽宁师范大学创新创业训练计划项目、本科生自主科研立项。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指导学生获奖（5%）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市级比赛获奖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指导学生发表论文（5%）</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B类以上论文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Cssci论文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学校规定的C类论文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学校规定的D类论文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教学大赛获奖（10%）</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院级比赛获奖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课程建设（10%）</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国家级：教育部评选的精品视频公开课、精品资源共享课及相当量级的课程建设成果。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省级：教育厅评选的精品视频公开课、精品资源共享课及相当量级的课程建设成果。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t>校级精品视频公开课、精品资源共享课程建设成果</w:t>
            </w:r>
            <w:r>
              <w:rPr>
                <w:rFonts w:hint="eastAsia"/>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1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3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1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1157"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02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国家级课程建设或省级课程建设参与人。</w:t>
            </w:r>
          </w:p>
        </w:tc>
      </w:tr>
    </w:tbl>
    <w:p>
      <w:pPr>
        <w:rPr>
          <w:b/>
        </w:rPr>
      </w:pPr>
      <w:r>
        <w:rPr>
          <w:b/>
        </w:rPr>
        <w:t> </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rFonts w:hint="eastAsia"/>
          <w:b/>
        </w:rPr>
        <w:t>附</w:t>
      </w:r>
      <w:r>
        <w:rPr>
          <w:b/>
        </w:rPr>
        <w:t>件2-3：科研评价指标体系</w:t>
      </w:r>
    </w:p>
    <w:tbl>
      <w:tblPr>
        <w:tblStyle w:val="5"/>
        <w:tblW w:w="9154"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5"/>
        <w:gridCol w:w="964"/>
        <w:gridCol w:w="1078"/>
        <w:gridCol w:w="654"/>
        <w:gridCol w:w="948"/>
        <w:gridCol w:w="3240"/>
        <w:gridCol w:w="1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jc w:val="center"/>
        </w:trPr>
        <w:tc>
          <w:tcPr>
            <w:tcW w:w="705" w:type="dxa"/>
            <w:tcBorders>
              <w:top w:val="outset" w:color="auto" w:sz="6" w:space="0"/>
              <w:left w:val="outset" w:color="auto" w:sz="6" w:space="0"/>
              <w:bottom w:val="outset" w:color="auto" w:sz="6" w:space="0"/>
              <w:right w:val="outset" w:color="auto" w:sz="6" w:space="0"/>
            </w:tcBorders>
            <w:shd w:val="clear" w:color="auto" w:fill="auto"/>
            <w:vAlign w:val="center"/>
          </w:tcPr>
          <w:p>
            <w:r>
              <w:t>维度</w:t>
            </w:r>
          </w:p>
        </w:tc>
        <w:tc>
          <w:tcPr>
            <w:tcW w:w="964" w:type="dxa"/>
            <w:tcBorders>
              <w:top w:val="outset" w:color="auto" w:sz="6" w:space="0"/>
              <w:left w:val="outset" w:color="auto" w:sz="6" w:space="0"/>
              <w:bottom w:val="outset" w:color="auto" w:sz="6" w:space="0"/>
              <w:right w:val="outset" w:color="auto" w:sz="6" w:space="0"/>
            </w:tcBorders>
            <w:shd w:val="clear" w:color="auto" w:fill="auto"/>
            <w:vAlign w:val="center"/>
          </w:tcPr>
          <w:p>
            <w:r>
              <w:t>一级指标</w:t>
            </w:r>
          </w:p>
        </w:tc>
        <w:tc>
          <w:tcPr>
            <w:tcW w:w="1078" w:type="dxa"/>
            <w:tcBorders>
              <w:top w:val="outset" w:color="auto" w:sz="6" w:space="0"/>
              <w:left w:val="outset" w:color="auto" w:sz="6" w:space="0"/>
              <w:bottom w:val="outset" w:color="auto" w:sz="6" w:space="0"/>
              <w:right w:val="outset" w:color="auto" w:sz="6" w:space="0"/>
            </w:tcBorders>
            <w:shd w:val="clear" w:color="auto" w:fill="auto"/>
            <w:vAlign w:val="center"/>
          </w:tcPr>
          <w:p>
            <w:r>
              <w:t>二级指标</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档次</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分数区间</w:t>
            </w:r>
          </w:p>
        </w:tc>
        <w:tc>
          <w:tcPr>
            <w:tcW w:w="4805" w:type="dxa"/>
            <w:gridSpan w:val="2"/>
            <w:tcBorders>
              <w:top w:val="outset" w:color="auto" w:sz="6" w:space="0"/>
              <w:left w:val="outset" w:color="auto" w:sz="6" w:space="0"/>
              <w:bottom w:val="single" w:color="auto" w:sz="4" w:space="0"/>
              <w:right w:val="outset" w:color="auto" w:sz="6" w:space="0"/>
            </w:tcBorders>
            <w:shd w:val="clear" w:color="auto" w:fill="auto"/>
            <w:vAlign w:val="center"/>
          </w:tcPr>
          <w:p>
            <w:r>
              <w:t>标准（单位自行设定）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90" w:hRule="atLeast"/>
          <w:jc w:val="center"/>
        </w:trPr>
        <w:tc>
          <w:tcPr>
            <w:tcW w:w="705"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
          <w:p>
            <w:r>
              <w:t>科研（分值：100；权重：0.9-a）</w:t>
            </w:r>
          </w:p>
        </w:tc>
        <w:tc>
          <w:tcPr>
            <w:tcW w:w="9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科研成果（权重：80%）</w:t>
            </w: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论文（分数：</w:t>
            </w:r>
            <w:r>
              <w:rPr>
                <w:rFonts w:hint="eastAsia"/>
              </w:rPr>
              <w:t>45</w:t>
            </w:r>
            <w:r>
              <w:t>分）</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single" w:color="auto" w:sz="4" w:space="0"/>
              <w:right w:val="outset" w:color="auto" w:sz="6" w:space="0"/>
            </w:tcBorders>
            <w:shd w:val="clear" w:color="auto" w:fill="auto"/>
            <w:vAlign w:val="center"/>
          </w:tcPr>
          <w:p>
            <w:r>
              <w:t>1篇A类或2篇B类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1篇B类并2篇Cssci</w:t>
            </w:r>
            <w:r>
              <w:rPr>
                <w:rFonts w:hint="eastAsia"/>
              </w:rPr>
              <w:t>，</w:t>
            </w:r>
            <w:r>
              <w:t>或4篇Cssci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1篇B类或2篇Cssci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single" w:color="auto" w:sz="4" w:space="0"/>
              <w:right w:val="outset" w:color="auto" w:sz="6" w:space="0"/>
            </w:tcBorders>
            <w:shd w:val="clear" w:color="auto" w:fill="auto"/>
            <w:vAlign w:val="center"/>
          </w:tcPr>
          <w:p>
            <w:r>
              <w:t>1篇Cssci或2篇C类，及以下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项目（分数：</w:t>
            </w:r>
            <w:r>
              <w:rPr>
                <w:rFonts w:hint="eastAsia"/>
              </w:rPr>
              <w:t>3</w:t>
            </w:r>
            <w:r>
              <w:t>0分）</w:t>
            </w:r>
          </w:p>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single" w:color="auto" w:sz="4" w:space="0"/>
              <w:right w:val="outset" w:color="auto" w:sz="6" w:space="0"/>
            </w:tcBorders>
            <w:shd w:val="clear" w:color="auto" w:fill="auto"/>
            <w:vAlign w:val="center"/>
          </w:tcPr>
          <w:p>
            <w:r>
              <w:t>1项国家级项目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805" w:type="dxa"/>
            <w:gridSpan w:val="2"/>
            <w:tcBorders>
              <w:top w:val="outset" w:color="auto" w:sz="6" w:space="0"/>
              <w:left w:val="outset" w:color="auto" w:sz="6" w:space="0"/>
              <w:bottom w:val="single" w:color="auto" w:sz="4" w:space="0"/>
              <w:right w:val="outset" w:color="auto" w:sz="6" w:space="0"/>
            </w:tcBorders>
            <w:shd w:val="clear" w:color="auto" w:fill="auto"/>
            <w:vAlign w:val="center"/>
          </w:tcPr>
          <w:p>
            <w:r>
              <w:t>1项教育部项目</w:t>
            </w:r>
            <w:r>
              <w:rPr>
                <w:rFonts w:hint="eastAsia"/>
              </w:rPr>
              <w:t>（或相当级别）</w:t>
            </w:r>
            <w:r>
              <w:t>并1项省社科基金（省自然科学基金）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r>
              <w:t>]</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1项省社科基金（省自然科学基金）或2项省厅级项目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1项省厅级项目并1项市级项目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restart"/>
            <w:tcBorders>
              <w:top w:val="outset" w:color="auto" w:sz="6" w:space="0"/>
              <w:left w:val="outset" w:color="auto" w:sz="6" w:space="0"/>
              <w:right w:val="outset" w:color="auto" w:sz="6" w:space="0"/>
            </w:tcBorders>
            <w:shd w:val="clear" w:color="auto" w:fill="auto"/>
            <w:vAlign w:val="center"/>
          </w:tcPr>
          <w:p>
            <w:r>
              <w:t>著作（分数：</w:t>
            </w:r>
            <w:r>
              <w:rPr>
                <w:rFonts w:hint="eastAsia"/>
              </w:rPr>
              <w:t>15</w:t>
            </w:r>
            <w:r>
              <w:t>分）</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1部独著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left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[75,90</w:t>
            </w:r>
            <w:r>
              <w:rPr>
                <w:rFonts w:hint="eastAsia"/>
              </w:rPr>
              <w:t>]</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二位作者合作著作第一作者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left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r>
              <w:t>二位作者合作著作第二作者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参加他人著作撰写5万字以上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获奖（分数：10分）</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辽宁省人民政府哲学社会科学优秀成果奖一等奖及省级以上政府奖励者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辽宁省人民政府哲学社会科学优秀成果奖二等奖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辽宁省人民政府哲学社会科学优秀成果奖三等奖，或大连市人民政府社会科学进步奖一等奖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大连市人民政府社会科学进步奖二、三等奖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restart"/>
            <w:tcBorders>
              <w:top w:val="outset" w:color="auto" w:sz="6" w:space="0"/>
              <w:left w:val="outset" w:color="auto" w:sz="6" w:space="0"/>
              <w:right w:val="outset" w:color="auto" w:sz="6" w:space="0"/>
            </w:tcBorders>
            <w:shd w:val="clear" w:color="auto" w:fill="auto"/>
            <w:vAlign w:val="center"/>
          </w:tcPr>
          <w:p>
            <w:r>
              <w:t>学科贡献（权重：5%）</w:t>
            </w: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学位点建设</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3240" w:type="dxa"/>
            <w:tcBorders>
              <w:top w:val="outset" w:color="auto" w:sz="6" w:space="0"/>
              <w:left w:val="outset" w:color="auto" w:sz="6" w:space="0"/>
              <w:bottom w:val="outset" w:color="auto" w:sz="6" w:space="0"/>
              <w:right w:val="single" w:color="auto" w:sz="4" w:space="0"/>
            </w:tcBorders>
            <w:shd w:val="clear" w:color="auto" w:fill="auto"/>
            <w:vAlign w:val="center"/>
          </w:tcPr>
          <w:p>
            <w:r>
              <w:t>博士学位点学术骨干</w:t>
            </w:r>
          </w:p>
        </w:tc>
        <w:tc>
          <w:tcPr>
            <w:tcW w:w="1565" w:type="dxa"/>
            <w:vMerge w:val="restart"/>
            <w:tcBorders>
              <w:top w:val="outset" w:color="auto" w:sz="6" w:space="0"/>
              <w:left w:val="single" w:color="auto" w:sz="4" w:space="0"/>
              <w:right w:val="outset" w:color="auto" w:sz="6" w:space="0"/>
            </w:tcBorders>
            <w:shd w:val="clear" w:color="auto" w:fill="auto"/>
            <w:vAlign w:val="center"/>
          </w:tcPr>
          <w:p>
            <w:r>
              <w:rPr>
                <w:rFonts w:hint="eastAsia"/>
              </w:rPr>
              <w:t>备注：</w:t>
            </w:r>
            <w:r>
              <w:rPr>
                <w:rFonts w:hint="eastAsia" w:ascii="宋体" w:hAnsi="宋体"/>
                <w:szCs w:val="21"/>
              </w:rPr>
              <w:t>学科贡献限定条件：</w:t>
            </w:r>
            <w:r>
              <w:rPr>
                <w:rFonts w:ascii="宋体" w:hAnsi="宋体"/>
                <w:szCs w:val="21"/>
              </w:rPr>
              <w:t>各类学位点获批时列入申请材料中的学术骨干</w:t>
            </w:r>
            <w:r>
              <w:rPr>
                <w:rFonts w:hint="eastAsia" w:ascii="宋体" w:hAnsi="宋体"/>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80"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left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[80,</w:t>
            </w:r>
            <w:r>
              <w:rPr>
                <w:rFonts w:hint="eastAsia"/>
              </w:rPr>
              <w:t>89]</w:t>
            </w:r>
          </w:p>
        </w:tc>
        <w:tc>
          <w:tcPr>
            <w:tcW w:w="3240" w:type="dxa"/>
            <w:tcBorders>
              <w:top w:val="outset" w:color="auto" w:sz="6" w:space="0"/>
              <w:left w:val="outset" w:color="auto" w:sz="6" w:space="0"/>
              <w:bottom w:val="outset" w:color="auto" w:sz="6" w:space="0"/>
              <w:right w:val="single" w:color="auto" w:sz="4" w:space="0"/>
            </w:tcBorders>
            <w:shd w:val="clear" w:color="auto" w:fill="auto"/>
            <w:vAlign w:val="center"/>
          </w:tcPr>
          <w:p>
            <w:r>
              <w:t>硕士学位点学术骨干</w:t>
            </w:r>
          </w:p>
        </w:tc>
        <w:tc>
          <w:tcPr>
            <w:tcW w:w="1565" w:type="dxa"/>
            <w:vMerge w:val="continue"/>
            <w:tcBorders>
              <w:left w:val="single" w:color="auto" w:sz="4" w:space="0"/>
              <w:right w:val="outset" w:color="auto" w:sz="6" w:space="0"/>
            </w:tcBorders>
            <w:shd w:val="clear" w:color="auto" w:fill="auto"/>
            <w:vAlign w:val="center"/>
          </w:tc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服务社会（权重：15%）</w:t>
            </w: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社科服务50%</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到位经费50万元以上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到位经费25万元以上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到位经费10万元以上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到位经费10万元以下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决策咨询50%</w:t>
            </w: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[90,100]</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被国家部委、省级主要领导人批示或有关部门采用的成果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[75,</w:t>
            </w:r>
            <w:r>
              <w:rPr>
                <w:rFonts w:hint="eastAsia"/>
              </w:rPr>
              <w:t>89]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在国家社科基金《成果要报》、教育部简报《高校智库专刊》等部委级《要报》上发表的成果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[60,7</w:t>
            </w:r>
            <w:r>
              <w:rPr>
                <w:rFonts w:hint="eastAsia"/>
              </w:rPr>
              <w:t>4]</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被厅级主要领导人批示或有关部门采用的，或在省级《要报》上发表的成果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35" w:hRule="atLeast"/>
          <w:jc w:val="center"/>
        </w:trPr>
        <w:tc>
          <w:tcPr>
            <w:tcW w:w="705" w:type="dxa"/>
            <w:tcBorders>
              <w:top w:val="outset" w:color="auto" w:sz="6" w:space="0"/>
              <w:left w:val="outset" w:color="auto" w:sz="6" w:space="0"/>
              <w:bottom w:val="outset" w:color="auto" w:sz="6" w:space="0"/>
              <w:right w:val="outset" w:color="auto" w:sz="6" w:space="0"/>
            </w:tcBorders>
            <w:shd w:val="clear" w:color="auto" w:fill="auto"/>
            <w:vAlign w:val="center"/>
          </w:tcPr>
          <w:p>
            <w:r>
              <w:t> </w:t>
            </w:r>
          </w:p>
        </w:tc>
        <w:tc>
          <w:tcPr>
            <w:tcW w:w="964"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107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54"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948" w:type="dxa"/>
            <w:tcBorders>
              <w:top w:val="outset" w:color="auto" w:sz="6" w:space="0"/>
              <w:left w:val="outset" w:color="auto" w:sz="6" w:space="0"/>
              <w:bottom w:val="outset" w:color="auto" w:sz="6" w:space="0"/>
              <w:right w:val="outset" w:color="auto" w:sz="6" w:space="0"/>
            </w:tcBorders>
            <w:shd w:val="clear" w:color="auto" w:fill="auto"/>
            <w:vAlign w:val="center"/>
          </w:tcPr>
          <w:p>
            <w:r>
              <w:t>[0,</w:t>
            </w:r>
            <w:r>
              <w:rPr>
                <w:rFonts w:hint="eastAsia"/>
              </w:rPr>
              <w:t>59]</w:t>
            </w:r>
          </w:p>
        </w:tc>
        <w:tc>
          <w:tcPr>
            <w:tcW w:w="4805" w:type="dxa"/>
            <w:gridSpan w:val="2"/>
            <w:tcBorders>
              <w:top w:val="outset" w:color="auto" w:sz="6" w:space="0"/>
              <w:left w:val="outset" w:color="auto" w:sz="6" w:space="0"/>
              <w:bottom w:val="outset" w:color="auto" w:sz="6" w:space="0"/>
              <w:right w:val="outset" w:color="auto" w:sz="6" w:space="0"/>
            </w:tcBorders>
            <w:shd w:val="clear" w:color="auto" w:fill="auto"/>
            <w:vAlign w:val="center"/>
          </w:tcPr>
          <w:p>
            <w:r>
              <w:t>在市级《要报》上发表的成果</w:t>
            </w:r>
          </w:p>
        </w:tc>
      </w:tr>
    </w:tbl>
    <w:p>
      <w:r>
        <w:t> </w:t>
      </w:r>
    </w:p>
    <w:p/>
    <w:p/>
    <w:p/>
    <w:p>
      <w:pPr>
        <w:spacing w:beforeLines="100" w:afterLines="100"/>
        <w:rPr>
          <w:b/>
        </w:rPr>
      </w:pPr>
      <w:r>
        <w:rPr>
          <w:b/>
        </w:rPr>
        <w:t>   附件3-1：成果目录--教学</w:t>
      </w:r>
    </w:p>
    <w:tbl>
      <w:tblPr>
        <w:tblStyle w:val="5"/>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73"/>
        <w:gridCol w:w="600"/>
        <w:gridCol w:w="69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73" w:type="dxa"/>
            <w:tcBorders>
              <w:top w:val="outset" w:color="auto" w:sz="6" w:space="0"/>
              <w:left w:val="outset" w:color="auto" w:sz="6" w:space="0"/>
              <w:bottom w:val="outset" w:color="auto" w:sz="6" w:space="0"/>
              <w:right w:val="outset" w:color="auto" w:sz="6" w:space="0"/>
            </w:tcBorders>
            <w:shd w:val="clear" w:color="auto" w:fill="auto"/>
            <w:vAlign w:val="center"/>
          </w:tcPr>
          <w:p>
            <w:r>
              <w:t>类别</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等级</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成果名称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教学研究论文</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B类以上论文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Cssci论文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学校规定的C类论文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学校规定的D类论文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00" w:hRule="atLeast"/>
        </w:trPr>
        <w:tc>
          <w:tcPr>
            <w:tcW w:w="773" w:type="dxa"/>
            <w:vMerge w:val="restart"/>
            <w:tcBorders>
              <w:top w:val="outset" w:color="auto" w:sz="6" w:space="0"/>
              <w:left w:val="outset" w:color="auto" w:sz="6" w:space="0"/>
              <w:right w:val="outset" w:color="auto" w:sz="6" w:space="0"/>
            </w:tcBorders>
            <w:shd w:val="clear" w:color="auto" w:fill="auto"/>
            <w:vAlign w:val="center"/>
          </w:tcPr>
          <w:p>
            <w:r>
              <w:t>教学改革研究项目）</w:t>
            </w:r>
          </w:p>
          <w:p/>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国家级：教育部教育教学改革研究项目及相当量级项目主持人。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省级：教育厅立项的普通高等教育本科教学改革研究项目及相当量级项目主持人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校级：辽宁师范大学教学改革研究项目主持人。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国家级教改项目第1、2参与人或省级教改项目第1参与人。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right w:val="outset" w:color="auto" w:sz="6" w:space="0"/>
            </w:tcBorders>
            <w:shd w:val="clear" w:color="auto" w:fill="auto"/>
            <w:vAlign w:val="center"/>
          </w:tcPr>
          <w:p/>
          <w:p>
            <w:r>
              <w:t>教学成果获奖</w:t>
            </w:r>
          </w:p>
          <w:p/>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国家级：教育部评选的国家级教学成果奖及相当量级成果主持人。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省级：教育厅评选的辽宁省普通高等教育本科教学成果奖及相当量级成果主持人。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校级教学成果获奖主持人。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国家级或省级教学成果获奖参与人。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right w:val="outset" w:color="auto" w:sz="6" w:space="0"/>
            </w:tcBorders>
            <w:shd w:val="clear" w:color="auto" w:fill="auto"/>
            <w:vAlign w:val="center"/>
          </w:tcPr>
          <w:p/>
          <w:p/>
          <w:p>
            <w:r>
              <w:t>教材</w:t>
            </w:r>
          </w:p>
          <w:p/>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国家级：教育部评选的普通高等教育本科国家级规划教材及相当量级教材主编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省级：教育厅评选的普通高等教育本科省级规划教材及相当量级教材主编。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校级</w:t>
            </w:r>
            <w:r>
              <w:t>教材主编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pPr>
              <w:rPr>
                <w:color w:val="FF0000"/>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以上各级教材参与撰写人。（备注：须署作者实名的教材）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指导学生获优秀学位论文</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国家级：教育部和国务院学位委员会评选的优秀硕士、博士学位论文（或提名）。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省级：辽宁省教育厅和辽宁省人民政府学位委员会评选的优秀硕士、博士学位论文（或提名）。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校级：学校评选的优秀硕士学位论文。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校级：学校评选的优秀学士学位论文。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指导学生获批项目</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国家级：国家级大学生创新创业训练计划项目。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省级：辽宁省大学生创新创业训练计划项目。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两</w:t>
            </w:r>
            <w:r>
              <w:t>项校级：辽宁师范大学创新创业训练计划项目、本科生自主科研立项。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一</w:t>
            </w:r>
            <w:r>
              <w:t>项校级：辽宁师范大学创新创业训练计划项目、本科生自主科研立项。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指导学生获奖</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市级比赛获奖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指导学生发表论文</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B类以上论文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Cssci论文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学校规定的C类论文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学校规定的D类论文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教学大赛获奖</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省级：《辽宁师范大学获奖类成果奖励认定目录》列出的比赛及相当量级的比赛获奖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院级比赛获奖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课程建设</w:t>
            </w: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国家级：教育部评选的精品视频公开课、精品资源共享课及相当量级的课程建设成果。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省级：教育厅评选的精品视频公开课、精品资源共享课及相当量级的课程建设成果。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t>校级精品视频公开课、精品资源共享课程建设成果</w:t>
            </w:r>
            <w:r>
              <w:rPr>
                <w:rFonts w:hint="eastAsia"/>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7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0"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49"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国家级课程建设或省级课程建设参与人。</w:t>
            </w:r>
          </w:p>
        </w:tc>
      </w:tr>
    </w:tbl>
    <w:p>
      <w:r>
        <w:t> </w:t>
      </w:r>
    </w:p>
    <w:p/>
    <w:p/>
    <w:p/>
    <w:p>
      <w:pPr>
        <w:spacing w:beforeLines="100" w:afterLines="100"/>
        <w:rPr>
          <w:b/>
        </w:rPr>
      </w:pPr>
      <w:r>
        <w:rPr>
          <w:b/>
        </w:rPr>
        <w:t>附件3-2：成果目录--科研</w:t>
      </w:r>
    </w:p>
    <w:tbl>
      <w:tblPr>
        <w:tblStyle w:val="5"/>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40"/>
        <w:gridCol w:w="602"/>
        <w:gridCol w:w="69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40" w:type="dxa"/>
            <w:tcBorders>
              <w:top w:val="outset" w:color="auto" w:sz="6" w:space="0"/>
              <w:left w:val="outset" w:color="auto" w:sz="6" w:space="0"/>
              <w:bottom w:val="outset" w:color="auto" w:sz="6" w:space="0"/>
              <w:right w:val="outset" w:color="auto" w:sz="6" w:space="0"/>
            </w:tcBorders>
            <w:shd w:val="clear" w:color="auto" w:fill="auto"/>
            <w:vAlign w:val="center"/>
          </w:tcPr>
          <w:p>
            <w:r>
              <w:t>类别</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等级</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成果名称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trPr>
        <w:tc>
          <w:tcPr>
            <w:tcW w:w="7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论文</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1篇A类，或2篇B类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65" w:hRule="atLeas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1篇B类并2篇Cssci，或4篇Cssci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1篇B类或2篇Cssci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150" w:hRule="atLeas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1篇Cssci或2篇C类，及以下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Height w:val="300" w:hRule="atLeast"/>
        </w:trPr>
        <w:tc>
          <w:tcPr>
            <w:tcW w:w="7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项目</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1项国家级项目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1项教育部项目</w:t>
            </w:r>
            <w:r>
              <w:rPr>
                <w:rFonts w:hint="eastAsia"/>
              </w:rPr>
              <w:t>（或相当级别）</w:t>
            </w:r>
            <w:r>
              <w:t>并1项省社科基金（省自然科学基金）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1项省社科基金（省自然科学基金）或2项省厅级项目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1项省厅级项目并1项市级项目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restart"/>
            <w:tcBorders>
              <w:top w:val="outset" w:color="auto" w:sz="6" w:space="0"/>
              <w:left w:val="outset" w:color="auto" w:sz="6" w:space="0"/>
              <w:right w:val="outset" w:color="auto" w:sz="6" w:space="0"/>
            </w:tcBorders>
            <w:shd w:val="clear" w:color="auto" w:fill="auto"/>
            <w:vAlign w:val="center"/>
          </w:tcPr>
          <w:p>
            <w:r>
              <w:t>著作</w:t>
            </w:r>
          </w:p>
          <w:p/>
          <w:p/>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1部独著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二位作者合作著作第一作者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left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C</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二位作者合作著作第二作者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rPr>
                <w:rFonts w:hint="eastAsia"/>
              </w:rPr>
              <w:t>D</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参加他人著作撰写5万字以上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r>
              <w:t>获奖</w:t>
            </w: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A</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辽宁省人民政府哲学社会科学优秀成果奖一等奖及省级以上政府奖励者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B</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辽宁省人民政府哲学社会科学优秀成果奖二等奖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C</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辽宁省人民政府哲学社会科学优秀成果奖三等奖，或大连市人民政府社会科学进步奖一等奖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7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tc>
        <w:tc>
          <w:tcPr>
            <w:tcW w:w="602" w:type="dxa"/>
            <w:tcBorders>
              <w:top w:val="outset" w:color="auto" w:sz="6" w:space="0"/>
              <w:left w:val="outset" w:color="auto" w:sz="6" w:space="0"/>
              <w:bottom w:val="outset" w:color="auto" w:sz="6" w:space="0"/>
              <w:right w:val="outset" w:color="auto" w:sz="6" w:space="0"/>
            </w:tcBorders>
            <w:shd w:val="clear" w:color="auto" w:fill="auto"/>
            <w:vAlign w:val="center"/>
          </w:tcPr>
          <w:p>
            <w:r>
              <w:t>D</w:t>
            </w:r>
          </w:p>
        </w:tc>
        <w:tc>
          <w:tcPr>
            <w:tcW w:w="6980" w:type="dxa"/>
            <w:tcBorders>
              <w:top w:val="outset" w:color="auto" w:sz="6" w:space="0"/>
              <w:left w:val="outset" w:color="auto" w:sz="6" w:space="0"/>
              <w:bottom w:val="outset" w:color="auto" w:sz="6" w:space="0"/>
              <w:right w:val="outset" w:color="auto" w:sz="6" w:space="0"/>
            </w:tcBorders>
            <w:shd w:val="clear" w:color="auto" w:fill="auto"/>
            <w:vAlign w:val="center"/>
          </w:tcPr>
          <w:p>
            <w:r>
              <w:t>大连市人民政府社会科学进步奖二、三等奖</w:t>
            </w:r>
          </w:p>
        </w:tc>
      </w:tr>
    </w:tbl>
    <w:p>
      <w:r>
        <w:t> </w:t>
      </w:r>
    </w:p>
    <w:p/>
    <w:p/>
    <w:p/>
    <w:p/>
    <w:p>
      <w:pPr>
        <w:spacing w:beforeLines="100" w:afterLines="100"/>
        <w:rPr>
          <w:b/>
        </w:rPr>
      </w:pPr>
      <w:r>
        <w:rPr>
          <w:b/>
        </w:rPr>
        <w:t>附件4：评价方法说明</w:t>
      </w:r>
    </w:p>
    <w:p>
      <w:r>
        <w:t>  （1）积分制评价方法</w:t>
      </w:r>
    </w:p>
    <w:p>
      <w:pPr>
        <w:ind w:firstLine="240"/>
      </w:pPr>
      <w:r>
        <w:t>师德与育人采取积分制评价法。本项设基准分</w:t>
      </w:r>
      <w:r>
        <w:rPr>
          <w:rFonts w:hint="eastAsia"/>
        </w:rPr>
        <w:t>6</w:t>
      </w:r>
      <w:r>
        <w:t>0分，在此基础上进行增减；本项低于60分者不得参评；每项荣誉称号不重复累加，按最高荣誉项加分；分数加满为止。</w:t>
      </w:r>
    </w:p>
    <w:p>
      <w:r>
        <w:t>（2）区间制评价方法</w:t>
      </w:r>
    </w:p>
    <w:p>
      <w:pPr>
        <w:ind w:firstLine="420" w:firstLineChars="200"/>
      </w:pPr>
      <w:r>
        <w:t>教学和科研采取区间制评价法。首先，制定成果目录，规定成果级别，样例见附件3-1和3-2；其次，根据二级指标的公认度和重要性赋予不同的分值；最后，制定评价目录，以赋值后的二级指标为框架，以成果目录为基础，明确规定该指标不同档次的分值及所对应的不同级别和数量的成果组合。按照维度归类加权求和，获得每一维度的原始分值，按照师德与育人、教学、科研权重值，加权平均得到各维度的评价分值。各维度分值加权平均得到推荐排序分值。</w:t>
      </w:r>
    </w:p>
    <w:p>
      <w:pPr>
        <w:spacing w:beforeLines="100" w:afterLines="100"/>
        <w:rPr>
          <w:sz w:val="28"/>
          <w:szCs w:val="28"/>
        </w:rPr>
      </w:pPr>
      <w:r>
        <w:rPr>
          <w:b/>
        </w:rPr>
        <w:t>附件5  代表性成果推荐表（上报学</w:t>
      </w:r>
      <w:r>
        <w:rPr>
          <w:rFonts w:hint="eastAsia"/>
          <w:b/>
        </w:rPr>
        <w:t>院</w:t>
      </w:r>
      <w:r>
        <w:rPr>
          <w:b/>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0A60BA"/>
    <w:rsid w:val="00057D40"/>
    <w:rsid w:val="00087C28"/>
    <w:rsid w:val="000A0D0E"/>
    <w:rsid w:val="000B57AC"/>
    <w:rsid w:val="000C2B1F"/>
    <w:rsid w:val="000D2C22"/>
    <w:rsid w:val="000F4F56"/>
    <w:rsid w:val="00106400"/>
    <w:rsid w:val="00121506"/>
    <w:rsid w:val="00125908"/>
    <w:rsid w:val="00127430"/>
    <w:rsid w:val="00132773"/>
    <w:rsid w:val="00171793"/>
    <w:rsid w:val="001A7C38"/>
    <w:rsid w:val="001B0DD8"/>
    <w:rsid w:val="001C4872"/>
    <w:rsid w:val="001E2DA3"/>
    <w:rsid w:val="001F0991"/>
    <w:rsid w:val="002437A7"/>
    <w:rsid w:val="002614C8"/>
    <w:rsid w:val="00274F6F"/>
    <w:rsid w:val="0030312D"/>
    <w:rsid w:val="00311802"/>
    <w:rsid w:val="00322EAB"/>
    <w:rsid w:val="00334818"/>
    <w:rsid w:val="00352EBA"/>
    <w:rsid w:val="00360FE2"/>
    <w:rsid w:val="003611A6"/>
    <w:rsid w:val="00365555"/>
    <w:rsid w:val="00376619"/>
    <w:rsid w:val="003801EE"/>
    <w:rsid w:val="003870B4"/>
    <w:rsid w:val="00391B28"/>
    <w:rsid w:val="003B37B3"/>
    <w:rsid w:val="0041670C"/>
    <w:rsid w:val="00450893"/>
    <w:rsid w:val="00496A18"/>
    <w:rsid w:val="004A5781"/>
    <w:rsid w:val="004D575A"/>
    <w:rsid w:val="004D7556"/>
    <w:rsid w:val="004D7A47"/>
    <w:rsid w:val="004F0C45"/>
    <w:rsid w:val="004F2814"/>
    <w:rsid w:val="00502299"/>
    <w:rsid w:val="005231D1"/>
    <w:rsid w:val="0054417A"/>
    <w:rsid w:val="00546BE0"/>
    <w:rsid w:val="00585878"/>
    <w:rsid w:val="005A495A"/>
    <w:rsid w:val="005B4790"/>
    <w:rsid w:val="00606589"/>
    <w:rsid w:val="0061111F"/>
    <w:rsid w:val="00643783"/>
    <w:rsid w:val="0065392A"/>
    <w:rsid w:val="0067563B"/>
    <w:rsid w:val="0075344E"/>
    <w:rsid w:val="007B06DA"/>
    <w:rsid w:val="007B191F"/>
    <w:rsid w:val="007C3D9B"/>
    <w:rsid w:val="007E0102"/>
    <w:rsid w:val="007F3615"/>
    <w:rsid w:val="00825B8C"/>
    <w:rsid w:val="0084073F"/>
    <w:rsid w:val="008544EF"/>
    <w:rsid w:val="008648FB"/>
    <w:rsid w:val="008B5E5B"/>
    <w:rsid w:val="00913A4C"/>
    <w:rsid w:val="00935503"/>
    <w:rsid w:val="00935DA3"/>
    <w:rsid w:val="00941F8B"/>
    <w:rsid w:val="00977264"/>
    <w:rsid w:val="009A75E8"/>
    <w:rsid w:val="009F1CCF"/>
    <w:rsid w:val="009F747E"/>
    <w:rsid w:val="00A04BDD"/>
    <w:rsid w:val="00A05FE4"/>
    <w:rsid w:val="00A130D3"/>
    <w:rsid w:val="00A16BEF"/>
    <w:rsid w:val="00A17FD2"/>
    <w:rsid w:val="00A605B4"/>
    <w:rsid w:val="00A63FEB"/>
    <w:rsid w:val="00A97E9A"/>
    <w:rsid w:val="00AC3F9F"/>
    <w:rsid w:val="00B4631D"/>
    <w:rsid w:val="00B76EA4"/>
    <w:rsid w:val="00B86392"/>
    <w:rsid w:val="00BA4531"/>
    <w:rsid w:val="00BB186B"/>
    <w:rsid w:val="00BD132A"/>
    <w:rsid w:val="00BE05D0"/>
    <w:rsid w:val="00C01046"/>
    <w:rsid w:val="00C0242F"/>
    <w:rsid w:val="00C51DE6"/>
    <w:rsid w:val="00C603EB"/>
    <w:rsid w:val="00C662C2"/>
    <w:rsid w:val="00C91D50"/>
    <w:rsid w:val="00C9337F"/>
    <w:rsid w:val="00CE1028"/>
    <w:rsid w:val="00CF25A8"/>
    <w:rsid w:val="00D01312"/>
    <w:rsid w:val="00D06572"/>
    <w:rsid w:val="00D33EEE"/>
    <w:rsid w:val="00D47858"/>
    <w:rsid w:val="00D6434E"/>
    <w:rsid w:val="00D6512C"/>
    <w:rsid w:val="00DA519B"/>
    <w:rsid w:val="00DC1900"/>
    <w:rsid w:val="00DE7752"/>
    <w:rsid w:val="00E134C2"/>
    <w:rsid w:val="00E30410"/>
    <w:rsid w:val="00E3087D"/>
    <w:rsid w:val="00E3243F"/>
    <w:rsid w:val="00E80F30"/>
    <w:rsid w:val="00EA2FE3"/>
    <w:rsid w:val="00EA5E93"/>
    <w:rsid w:val="00EF368B"/>
    <w:rsid w:val="00EF46E9"/>
    <w:rsid w:val="00F01523"/>
    <w:rsid w:val="00F0579B"/>
    <w:rsid w:val="00F429CF"/>
    <w:rsid w:val="00F746FD"/>
    <w:rsid w:val="00F90E9E"/>
    <w:rsid w:val="00FE7B26"/>
    <w:rsid w:val="00FF4041"/>
    <w:rsid w:val="0B0A60BA"/>
    <w:rsid w:val="0EF17485"/>
    <w:rsid w:val="188657C5"/>
    <w:rsid w:val="1A812669"/>
    <w:rsid w:val="1FC15BD1"/>
    <w:rsid w:val="1FC829BE"/>
    <w:rsid w:val="22FA0411"/>
    <w:rsid w:val="253F1D65"/>
    <w:rsid w:val="2AC057A5"/>
    <w:rsid w:val="32DD57F8"/>
    <w:rsid w:val="35A03DED"/>
    <w:rsid w:val="48CB3B78"/>
    <w:rsid w:val="5DA53BBE"/>
    <w:rsid w:val="66EA3D22"/>
    <w:rsid w:val="6D535020"/>
    <w:rsid w:val="736B14D9"/>
    <w:rsid w:val="7E1F18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批注文字 Char"/>
    <w:basedOn w:val="7"/>
    <w:link w:val="2"/>
    <w:semiHidden/>
    <w:uiPriority w:val="99"/>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6F714-7109-42E4-B36F-B4139BCC3B5D}">
  <ds:schemaRefs/>
</ds:datastoreItem>
</file>

<file path=docProps/app.xml><?xml version="1.0" encoding="utf-8"?>
<Properties xmlns="http://schemas.openxmlformats.org/officeDocument/2006/extended-properties" xmlns:vt="http://schemas.openxmlformats.org/officeDocument/2006/docPropsVTypes">
  <Template>0</Template>
  <Pages>16</Pages>
  <Words>1508</Words>
  <Characters>8600</Characters>
  <Lines>71</Lines>
  <Paragraphs>20</Paragraphs>
  <TotalTime>649</TotalTime>
  <ScaleCrop>false</ScaleCrop>
  <LinksUpToDate>false</LinksUpToDate>
  <CharactersWithSpaces>10088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2018-12-05T02:24:00Z</dcterms:created>
  <dc:creator>Administrator</dc:creator>
  <cp:lastModifiedBy>Administrator</cp:lastModifiedBy>
  <dcterms:modified xsi:type="dcterms:W3CDTF">2019-10-23T02:43:33Z</dcterms:modified>
  <dc:title>辽宁师范大学历史文化旅游学院教师系列专业技术职务任职资格评审推荐工作实施方案（试行）</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