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太平天国运动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2018级历史学（师范）2班李宗昊</w:t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</w:t>
      </w:r>
      <w:r>
        <w:rPr>
          <w:rFonts w:hint="eastAsia" w:ascii="宋体" w:hAnsi="宋体"/>
          <w:bCs/>
          <w:sz w:val="24"/>
          <w:szCs w:val="24"/>
          <w:lang w:val="en-US" w:eastAsia="zh-Hans"/>
        </w:rPr>
        <w:t>课程标准</w:t>
      </w:r>
      <w:r>
        <w:rPr>
          <w:rFonts w:hint="eastAsia" w:ascii="宋体" w:hAnsi="宋体"/>
          <w:bCs/>
          <w:sz w:val="24"/>
          <w:szCs w:val="24"/>
        </w:rPr>
        <w:t>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了解太平天国运动的主要史实，体会农民阶级的斗争精神。了解农民阶级在民主革命中的作用和局限性。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【教材分析】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太平天国运动是中国旧式农民运动的顶点</w:t>
      </w:r>
      <w:r>
        <w:rPr>
          <w:rFonts w:hint="eastAsia" w:ascii="宋体" w:hAnsi="宋体"/>
          <w:bCs/>
          <w:sz w:val="24"/>
          <w:szCs w:val="24"/>
        </w:rPr>
        <w:t>，是本册书中的重要章节。在教材中具有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承上启下</w:t>
      </w:r>
      <w:r>
        <w:rPr>
          <w:rFonts w:hint="eastAsia" w:ascii="宋体" w:hAnsi="宋体"/>
          <w:bCs/>
          <w:sz w:val="24"/>
          <w:szCs w:val="24"/>
        </w:rPr>
        <w:t>的作用和地位。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【学情分析】</w:t>
      </w:r>
      <w:r>
        <w:rPr>
          <w:rFonts w:hint="eastAsia" w:ascii="宋体" w:hAnsi="宋体"/>
          <w:bCs/>
          <w:sz w:val="24"/>
          <w:szCs w:val="24"/>
          <w:lang w:eastAsia="zh-CN"/>
        </w:rPr>
        <w:t>高中学生在智力方面，形象思维仍然起重要作用。思维的独立性和批判性虽以显著的发展起来，但认识能力仍不高，仍带有片面性和表面性。在个性方面，学生的自我意识有了迅速的发展。要求独立自主，有自我教育的要求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【教学目标】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1.通过教科书以课件的文字和图片，了解太平天国运动的背景、经过和影响等基本史实。（历史解释、时空观念）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2.通过阅读和思考教材及相关史料，在教师的引导下，尝试理解太平天国运动失败的直接原因和根本原因的辩证关系。（唯物史观、史料实证）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3.感受洪秀全太平天国领袖为反抗压迫所作的努力，认识到农民阶级有着强大的反抗斗争意识，反侵略反封建是近代中国革命的主题。（家国情怀）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【教学重难点】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重点：掌握太平天国爆发的原因及失败的原因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难点：正确理解《天朝田亩制度》和《资政新篇》的历史意义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【教学方法】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讲授法，演示法和课堂讨论法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Hans"/>
        </w:rPr>
      </w:pPr>
      <w:r>
        <w:rPr>
          <w:rFonts w:hint="eastAsia" w:ascii="宋体" w:hAnsi="宋体" w:cs="Times New Roman"/>
          <w:sz w:val="24"/>
          <w:szCs w:val="24"/>
          <w:lang w:val="en-US" w:eastAsia="zh-Hans"/>
        </w:rPr>
        <w:t>【教学过程】</w:t>
      </w:r>
    </w:p>
    <w:p>
      <w:pPr>
        <w:numPr>
          <w:ilvl w:val="0"/>
          <w:numId w:val="1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新课导入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展示PPT：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人民英雄纪念碑，金田起义浮雕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教师提问：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这是金田起义的浮雕，为什么会放在人民英雄纪念碑上，金田起义为何有如此重大的意义</w:t>
      </w:r>
      <w:r>
        <w:rPr>
          <w:rFonts w:hint="eastAsia" w:ascii="宋体" w:hAnsi="宋体"/>
          <w:bCs/>
          <w:sz w:val="24"/>
          <w:szCs w:val="24"/>
        </w:rPr>
        <w:t>？</w:t>
      </w:r>
    </w:p>
    <w:p>
      <w:pPr>
        <w:spacing w:line="360" w:lineRule="auto"/>
        <w:jc w:val="left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通过图片直观导入，开门见山，易于学生掌握本课主题。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新课讲授</w:t>
      </w:r>
    </w:p>
    <w:p>
      <w:pPr>
        <w:widowControl w:val="0"/>
        <w:numPr>
          <w:ilvl w:val="0"/>
          <w:numId w:val="2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天国之兴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师：请同学们阅读材料，总结一下，材料中体现了当时中国存在哪些问题？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ind w:firstLine="480" w:firstLineChars="20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材料一  鸦片战争后，鸦片走私导致白银外流、银价激涨，洋货涌入导致传统手工业破产，巨额赔款加重人民负担，所以有史学家评价说：太平天国运动是“鸦片战争炮声的回声”。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材料二  清政府为了支付战争赔款和军费开支，极力搜刮，加捐加税。官府常抓人毒打交不起税的人。1843—1850年规模较大的群众暴动有70余起，遍及十几个省。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材料三  1846年—1850年,两广地区水、旱、虫灾不断，广大劳动人民陷于饥饿和死亡的困境。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生：……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师：所以当时农民生活在水深火热中，必须反抗才能生存。阐明太平天国运动爆发的原因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引导：简要介绍拜上帝教。向学生说明，以宗教的形式更容易笼络人心，尤其是农民阶级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天国之盛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师：要求学生阅读教材，教师简述金田起义的时间，领导人，永安建制的基本内容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生：……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师：太平军一路向北进军，简述行军路线（配合地图），最终定都南京。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提问：到达南京定都后，同学们觉得太平军应该怎么做（巩固政权）？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生：……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师：要保护南京不受威胁，必须主动出击，扩大领地，于是就有了北伐和西征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简述北伐和西征的内容和影响：夺取了南京西面的战略重镇，巩固了太平天国“首都”的安全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师：此时，清政府必然不可能坐视不管，那么清政府采取了哪些措施对付太平军？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生：……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简述湘军、淮军、洋枪队（常胜军）的建立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师：在巩固了现有领地之后，太平天国的领导人必须着手于内政的修订与改革。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两个重要文件：《天朝田亩制度》、《资政新篇》，论述其内容和意义，并通过表格对比起异同之处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天国之变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师：太平天国此时掌握了中国的半壁江山，如日中天，那么是什么原因让其灭亡了呢？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生：……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师：让我们来看一段短片（天京事变）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总结事变的</w:t>
      </w:r>
      <w:r>
        <w:rPr>
          <w:rFonts w:hint="default" w:ascii="宋体" w:hAnsi="宋体" w:cs="Times New Roman"/>
          <w:sz w:val="24"/>
          <w:szCs w:val="24"/>
          <w:lang w:val="en-US" w:eastAsia="zh-CN"/>
        </w:rPr>
        <w:t>原因：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cs="Times New Roman"/>
          <w:sz w:val="24"/>
          <w:szCs w:val="24"/>
          <w:lang w:val="en-US" w:eastAsia="zh-CN"/>
        </w:rPr>
        <w:t>1.军事战争的失利，动摇了人心，太平军缺乏坚强的领导核心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cs="Times New Roman"/>
          <w:sz w:val="24"/>
          <w:szCs w:val="24"/>
          <w:lang w:val="en-US" w:eastAsia="zh-CN"/>
        </w:rPr>
        <w:t>2.领导集团的日益腐败，勾心斗角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事变的</w:t>
      </w:r>
      <w:r>
        <w:rPr>
          <w:rFonts w:hint="default" w:ascii="宋体" w:hAnsi="宋体" w:cs="Times New Roman"/>
          <w:sz w:val="24"/>
          <w:szCs w:val="24"/>
          <w:lang w:val="en-US" w:eastAsia="zh-CN"/>
        </w:rPr>
        <w:t>影响：是太平天国由盛转衰的转折点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提问：想一想，悲剧的发生是不是必然的？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生：……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师：补充事变的原因：农民阶级的局限性（根本）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天国之亡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师：阅读教材，说说太平天国是如何覆灭的？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生：天京事变后，太平军在湘军，淮军和洋枪队的联合进攻下节节败退，先后失去了安庆等军事要地，天京失去屏障。1864年，天京被攻破，洪秀全病死，太平天国覆灭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师：没错，尽管太平军年轻将领陈玉成、李玉成奋勇作战，多次击败清军，但仍无济于事最终。那么我们可以知道，天国的悲剧是必然的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总结原因：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1.重大战略决策失误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2.中外反动势力联合绞杀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3.农民阶级的局限性</w:t>
      </w:r>
    </w:p>
    <w:p>
      <w:pPr>
        <w:widowControl w:val="0"/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课堂小结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师：太平天国运动有什么意义？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生：1.太平天国运动沉重打击了清朝的封建统治和外国侵略势力。改变了清政府的权力结构，汉族地主势力崛起。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2.催生了洋务运动。洋务运动前期创办的部分军事工业是为了镇压太平天国运动，而洋务运动迈出了中国近代化的第一步。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师：看问题要辩证来看，任何事物都具有两面性，所以太平天国运动也有消极的一面：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1.《天朝田亩制度》旨在建立小农经济的绝对平均主义的天国，与发展资本主义的时代潮流相违背。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2.中国内乱给外国侵略者以可乘之机，中国国家统一于稳定受到动摇。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eastAsia" w:ascii="宋体" w:hAnsi="宋体" w:cs="Times New Roman"/>
          <w:sz w:val="24"/>
          <w:szCs w:val="24"/>
          <w:lang w:val="en-US" w:eastAsia="zh-Hans"/>
        </w:rPr>
      </w:pPr>
      <w:r>
        <w:rPr>
          <w:rFonts w:hint="eastAsia" w:ascii="宋体" w:hAnsi="宋体" w:cs="Times New Roman"/>
          <w:sz w:val="24"/>
          <w:szCs w:val="24"/>
          <w:lang w:val="en-US" w:eastAsia="zh-Hans"/>
        </w:rPr>
        <w:t>【板书设计】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1.天国之兴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2.天国之盛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3.天国之变</w:t>
      </w:r>
    </w:p>
    <w:p>
      <w:pPr>
        <w:numPr>
          <w:ilvl w:val="0"/>
          <w:numId w:val="0"/>
        </w:numPr>
        <w:snapToGrid w:val="0"/>
        <w:spacing w:line="400" w:lineRule="atLeast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4.天国之亡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216C0"/>
    <w:multiLevelType w:val="singleLevel"/>
    <w:tmpl w:val="B2921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F713B7"/>
    <w:multiLevelType w:val="singleLevel"/>
    <w:tmpl w:val="1BF71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52EE"/>
    <w:rsid w:val="162419BE"/>
    <w:rsid w:val="19D90D46"/>
    <w:rsid w:val="22D64075"/>
    <w:rsid w:val="25760847"/>
    <w:rsid w:val="2D7722D9"/>
    <w:rsid w:val="3BA0301A"/>
    <w:rsid w:val="3E7A301E"/>
    <w:rsid w:val="49611686"/>
    <w:rsid w:val="51166897"/>
    <w:rsid w:val="53032F5F"/>
    <w:rsid w:val="659D19F3"/>
    <w:rsid w:val="696B6C0F"/>
    <w:rsid w:val="75EC37CF"/>
    <w:rsid w:val="7D1A5A36"/>
    <w:rsid w:val="7E455DDA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1854</Words>
  <Characters>1891</Characters>
  <Lines>0</Lines>
  <Paragraphs>0</Paragraphs>
  <TotalTime>15</TotalTime>
  <ScaleCrop>false</ScaleCrop>
  <LinksUpToDate>false</LinksUpToDate>
  <CharactersWithSpaces>1919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2022-03-15T14:20:00Z</dcterms:created>
  <dc:creator>ly130</dc:creator>
  <cp:lastModifiedBy>田園蝦</cp:lastModifiedBy>
  <dcterms:modified xsi:type="dcterms:W3CDTF">2022-04-27T02:16:15Z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772C7BA28A2548849872F6A1257F6228</vt:lpwstr>
  </property>
</Properties>
</file>